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drylubestephain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VEIDEC AB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drylubestephain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2" w:name="analyse-des-dangers-drylubestephain"/>
    <w:p>
      <w:pPr>
        <w:pStyle w:val="Heading1"/>
      </w:pPr>
      <w:r>
        <w:t xml:space="preserve">Analyse des dangers : drylubestephain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drylubestephain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VEIDEC AB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 (spray)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Lubrifiant, produit de meulage, silicone.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2018-10-17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2018-10-17.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2.1</w:t>
      </w:r>
    </w:p>
    <w:p>
      <w:pPr>
        <w:pStyle w:val="Compact"/>
        <w:numPr>
          <w:ilvl w:val="0"/>
          <w:numId w:val="1005"/>
        </w:numPr>
      </w:pPr>
      <w:r>
        <w:t xml:space="preserve">RID : 2.1</w:t>
      </w:r>
    </w:p>
    <w:p>
      <w:pPr>
        <w:pStyle w:val="Compact"/>
        <w:numPr>
          <w:ilvl w:val="0"/>
          <w:numId w:val="1005"/>
        </w:numPr>
      </w:pPr>
      <w:r>
        <w:t xml:space="preserve">ADN : 2.1</w:t>
      </w:r>
    </w:p>
    <w:p>
      <w:pPr>
        <w:pStyle w:val="Compact"/>
        <w:numPr>
          <w:ilvl w:val="0"/>
          <w:numId w:val="1005"/>
        </w:numPr>
      </w:pPr>
      <w:r>
        <w:t xml:space="preserve">IMDG : 2.1</w:t>
      </w:r>
    </w:p>
    <w:p>
      <w:pPr>
        <w:pStyle w:val="Compact"/>
        <w:numPr>
          <w:ilvl w:val="0"/>
          <w:numId w:val="1005"/>
        </w:numPr>
      </w:pPr>
      <w:r>
        <w:t xml:space="preserve">IATA : 2.1</w:t>
      </w:r>
    </w:p>
    <w:p>
      <w:pPr>
        <w:pStyle w:val="Compact"/>
        <w:numPr>
          <w:ilvl w:val="0"/>
          <w:numId w:val="1005"/>
        </w:numPr>
      </w:pPr>
      <w:r>
        <w:t xml:space="preserve">UN : 1950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de l’eau et du savon.</w:t>
      </w:r>
    </w:p>
    <w:p>
      <w:pPr>
        <w:pStyle w:val="BodyText"/>
      </w:pPr>
      <w:r>
        <w:t xml:space="preserve">eyes : Rincer avec précaution à l’eau pendant plusieurs minutes.</w:t>
      </w:r>
    </w:p>
    <w:p>
      <w:pPr>
        <w:pStyle w:val="BodyText"/>
      </w:pPr>
      <w:r>
        <w:t xml:space="preserve">ingestion : Ne pas faire vomir.</w:t>
      </w:r>
    </w:p>
    <w:p>
      <w:pPr>
        <w:pStyle w:val="BodyText"/>
      </w:pPr>
      <w:r>
        <w:t xml:space="preserve">inhalation : Fournir de l’air frais.</w:t>
      </w:r>
    </w:p>
    <w:p>
      <w:r>
        <w:br w:type="page"/>
      </w:r>
    </w:p>
    <w:bookmarkEnd w:id="34"/>
    <w:bookmarkStart w:id="3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106-97-8</w:t>
      </w:r>
    </w:p>
    <w:p>
      <w:pPr>
        <w:pStyle w:val="Compact"/>
        <w:numPr>
          <w:ilvl w:val="0"/>
          <w:numId w:val="1006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75.0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74-98-6</w:t>
      </w:r>
    </w:p>
    <w:p>
      <w:pPr>
        <w:pStyle w:val="Compact"/>
        <w:numPr>
          <w:ilvl w:val="0"/>
          <w:numId w:val="1008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End w:id="39"/>
    <w:bookmarkStart w:id="4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 Matériau : nitrile. • Temps de protection : &gt; 480 min. • Épaisseur des gants : 0,35 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Non requis dans les conditions d’utilisation normales.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Non requis dans les conditions d’utilisation normales.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Non requis dans les conditions d’utilisation normales.</w:t>
            </w:r>
          </w:p>
        </w:tc>
      </w:tr>
    </w:tbl>
    <w:bookmarkEnd w:id="40"/>
    <w:bookmarkStart w:id="4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ventilation adéquate. - Tenir à l’écart de la chaleur, des étincelles, des flammes nues et des surfaces chaudes. - Ne pas fumer. - Éviter l’accumulation de charges électrostatiques.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exposer le produit aux rayons directs du soleil ou à des températures supérieures à 50 °C. - Entreposer le produit dans son récipient original. - Entreposer à une température au-dessus du point de congélation. - Conserver les liquides inflammables à l’écart du gaz liquide et des marchandises inflammables.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Lubrifiant, produit de meulage, silicone.</w:t>
            </w:r>
          </w:p>
        </w:tc>
      </w:tr>
    </w:tbl>
    <w:bookmarkEnd w:id="41"/>
    <w:bookmarkEnd w:id="4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2026-04-02T01:49:02Z</dcterms:created>
  <dcterms:modified xsi:type="dcterms:W3CDTF">2026-04-02T01:49:02Z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