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durieu-peinture-owatrold101-ros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DURIEU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durieu-peinture-owatrold101-ros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3" w:name="Xb23e2c8ec19f9c3787415aa0c242225bf80ebf1"/>
    <w:p>
      <w:pPr>
        <w:pStyle w:val="Heading1"/>
      </w:pPr>
      <w:r>
        <w:t xml:space="preserve">Analyse des dangers : durieu-peinture-owatrold101-ros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durieu-peinture-owatrold101-ros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DURIEU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Peinture et Vernis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2016-03-02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2016-03-02.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Grave pour la santé" title="" id="31" name="Picture"/>
            <a:graphic>
              <a:graphicData uri="http://schemas.openxmlformats.org/drawingml/2006/picture">
                <pic:pic>
                  <pic:nvPicPr>
                    <pic:cNvPr descr="templates/SGH08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3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numPr>
          <w:ilvl w:val="0"/>
          <w:numId w:val="1003"/>
        </w:numPr>
      </w:pPr>
      <w:r>
        <w:t xml:space="preserve">EUH066</w:t>
      </w:r>
      <w:r>
        <w:t xml:space="preserve"> </w:t>
      </w:r>
      <w:r>
        <w:t xml:space="preserve">L’exposition répétée peut provoquer dessèchement ou gerçures de la peau.</w:t>
      </w:r>
    </w:p>
    <w:p>
      <w:pPr>
        <w:numPr>
          <w:ilvl w:val="0"/>
          <w:numId w:val="1003"/>
        </w:numPr>
      </w:pPr>
      <w:r>
        <w:t xml:space="preserve">EUH208</w:t>
      </w:r>
      <w:r>
        <w:t xml:space="preserve"> </w:t>
      </w:r>
      <w:r>
        <w:t xml:space="preserve">Contient (nom de la substance sensibilisante). Peut produire une réaction allergique.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P262</w:t>
      </w:r>
      <w:r>
        <w:t xml:space="preserve"> </w:t>
      </w:r>
      <w:r>
        <w:t xml:space="preserve">Éviter tout contact avec les yeux, la peau ou les vêtements.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P301+P310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4"/>
        </w:numPr>
      </w:pPr>
      <w:r>
        <w:t xml:space="preserve">P331</w:t>
      </w:r>
      <w:r>
        <w:t xml:space="preserve"> </w:t>
      </w:r>
      <w:r>
        <w:t xml:space="preserve">NE PAS faire vomir.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pas disponible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pas disponible</w:t>
      </w:r>
    </w:p>
    <w:p>
      <w:pPr>
        <w:pStyle w:val="Compact"/>
        <w:numPr>
          <w:ilvl w:val="0"/>
          <w:numId w:val="1005"/>
        </w:numPr>
      </w:pPr>
      <w:r>
        <w:t xml:space="preserve">IATA : pas disponible</w:t>
      </w:r>
    </w:p>
    <w:p>
      <w:pPr>
        <w:pStyle w:val="Compact"/>
        <w:numPr>
          <w:ilvl w:val="0"/>
          <w:numId w:val="1005"/>
        </w:numPr>
      </w:pPr>
      <w:r>
        <w:t xml:space="preserve">UN : pas disponible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Enlever les vêtements contaminés et les laver soigneusement.</w:t>
      </w:r>
      <w:r>
        <w:t xml:space="preserve"> </w:t>
      </w:r>
      <w:r>
        <w:t xml:space="preserve">• Laver la peau avec de l’eau et du savon ou un nettoyant connu.</w:t>
      </w:r>
      <w:r>
        <w:t xml:space="preserve"> </w:t>
      </w:r>
      <w:r>
        <w:t xml:space="preserve">• Si la zone contaminée est étendue ou si des lésions cutanées apparaissent, consulter un médecin ou se rendre à l’hôpital.</w:t>
      </w:r>
    </w:p>
    <w:p>
      <w:pPr>
        <w:pStyle w:val="BodyText"/>
      </w:pPr>
      <w:r>
        <w:t xml:space="preserve">eyes : • Laver abondamment les yeux avec de l’eau douce et propre pendant 15 min en maintenant les paupières écartées.</w:t>
      </w:r>
    </w:p>
    <w:p>
      <w:pPr>
        <w:pStyle w:val="BodyText"/>
      </w:pPr>
      <w:r>
        <w:t xml:space="preserve">ingestion : • Ne rien faire absorber par la bouche.</w:t>
      </w:r>
      <w:r>
        <w:t xml:space="preserve"> </w:t>
      </w:r>
      <w:r>
        <w:t xml:space="preserve">• Si l’ingestion est peu importante (≤ une gorgée), rincer la bouche à l’eau et consulter un médecin en montrant l’étiquette.</w:t>
      </w:r>
      <w:r>
        <w:t xml:space="preserve"> </w:t>
      </w:r>
      <w:r>
        <w:t xml:space="preserve">• En cas d’ingestion accidentelle, ne pas faire vomir ni faire boire, mais transférer immédiatement en milieu hospitalier par ambulance médicale, en montrant l’étiquette au médecin.</w:t>
      </w:r>
    </w:p>
    <w:p>
      <w:pPr>
        <w:pStyle w:val="BodyText"/>
      </w:pPr>
      <w:r>
        <w:t xml:space="preserve">inhalation : • En cas d’inhalation, consulter immédiatement un médecin.</w:t>
      </w:r>
    </w:p>
    <w:p>
      <w:r>
        <w:br w:type="page"/>
      </w:r>
    </w:p>
    <w:bookmarkEnd w:id="34"/>
    <w:bookmarkStart w:id="5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Xabed5af3ebe01825588eea8af25a00c4acb6c6a"/>
    <w:p>
      <w:pPr>
        <w:pStyle w:val="Heading3"/>
      </w:pPr>
      <w:r>
        <w:t xml:space="preserve">HYDROCARBONS, C10-C13, N-ALKANES, ISOALKANES, CYCLICS, &lt; 2% AROMATICS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None</w:t>
      </w:r>
    </w:p>
    <w:p>
      <w:pPr>
        <w:pStyle w:val="Compact"/>
        <w:numPr>
          <w:ilvl w:val="0"/>
          <w:numId w:val="1006"/>
        </w:numPr>
      </w:pPr>
      <w:r>
        <w:t xml:space="preserve">N° EINECS : 918-481-9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hydrocarbons-c10-aromatics-1-naphthalene"/>
    <w:p>
      <w:pPr>
        <w:pStyle w:val="Heading3"/>
      </w:pPr>
      <w:r>
        <w:t xml:space="preserve">HYDROCARBONS, C10, AROMATICS, &lt;1% NAPHTHALENE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None</w:t>
      </w:r>
    </w:p>
    <w:p>
      <w:pPr>
        <w:pStyle w:val="Compact"/>
        <w:numPr>
          <w:ilvl w:val="0"/>
          <w:numId w:val="1008"/>
        </w:numPr>
      </w:pPr>
      <w:r>
        <w:t xml:space="preserve">N° EINECS : 918-811-1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9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9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9" w:name="iodo-2-propynyle-butylcarbamate-ipbc"/>
    <w:p>
      <w:pPr>
        <w:pStyle w:val="Heading3"/>
      </w:pPr>
      <w:r>
        <w:t xml:space="preserve">3-IODO-2-PROPYNYLE BUTYLCARBAMATE (IPBC)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55406-53-6</w:t>
      </w:r>
    </w:p>
    <w:p>
      <w:pPr>
        <w:pStyle w:val="Compact"/>
        <w:numPr>
          <w:ilvl w:val="0"/>
          <w:numId w:val="1010"/>
        </w:numPr>
      </w:pPr>
      <w:r>
        <w:t xml:space="preserve">N° EINECS : 259-627-5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1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1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1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11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11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1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8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9">
        <w:r>
          <w:rPr>
            <w:rStyle w:val="Hyperlink"/>
            <w:color w:val="0856A0"/>
            <w:u w:val="single"/>
          </w:rPr>
          <w:t xml:space="preserve">Fiche n°320 - Butylcarbamate de 3-iodoprop-2-ynyle</w:t>
        </w:r>
      </w:hyperlink>
    </w:p>
    <w:p>
      <w:pPr>
        <w:numPr>
          <w:ilvl w:val="0"/>
          <w:numId w:val="1012"/>
        </w:numPr>
      </w:pPr>
      <w:hyperlink r:id="rId4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2"/>
        </w:numPr>
      </w:pPr>
      <w:hyperlink r:id="rId4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2"/>
        </w:numPr>
      </w:pPr>
      <w:hyperlink r:id="rId4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2"/>
        </w:numPr>
      </w:pPr>
      <w:hyperlink r:id="rId43">
        <w:r>
          <w:rPr>
            <w:rStyle w:val="Hyperlink"/>
            <w:color w:val="0856A0"/>
            <w:u w:val="single"/>
          </w:rPr>
          <w:t xml:space="preserve">Incendie - Explosion[12-14]</w:t>
        </w:r>
      </w:hyperlink>
    </w:p>
    <w:p>
      <w:pPr>
        <w:numPr>
          <w:ilvl w:val="0"/>
          <w:numId w:val="1012"/>
        </w:numPr>
      </w:pPr>
      <w:hyperlink r:id="rId4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2"/>
        </w:numPr>
      </w:pPr>
      <w:hyperlink r:id="rId4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2"/>
        </w:numPr>
      </w:pPr>
      <w:hyperlink r:id="rId4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2"/>
        </w:numPr>
      </w:pPr>
      <w:hyperlink r:id="rId4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8"/>
    <w:bookmarkEnd w:id="49"/>
    <w:bookmarkEnd w:id="50"/>
    <w:bookmarkStart w:id="5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 : Caoutchouc nitrile (Copolymère butadiène-acrylonitrile, NBR) ou PVA (Alcool polyvinyle).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Caractéristiques : gants imperméables conformes à la norme NF EN 374.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 : &gt; 0,45 mm.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perméation : &gt; 480 min pour une épaisseur &gt; 0,45 mm.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/ du visage • Utiliser des protections oculaires conçues contre les projections de liquide.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Avant toute manipulation, porter des lunettes de sécurité conformes à la norme NF EN 166.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 : Caoutchouc nitrile (Copolymère butadiène-acrylonitrile, NBR) ou PVA (Alcool polyvinyle).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Caractéristiques : gants imperméables conformes à la norme NF EN 374.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 : &gt; 0,45 mm.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perméation : &gt; 480 min pour une épaisseur &gt; 0,45 mm.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Type de masque : demi-masque filtrant contre les aérosols à usage unique.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Classe : FFP2.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Filtres anti-gaz et vapeurs (Filtres combinés) conformes à la norme NF EN 14387 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 - A2 (marron)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 - B2 (gris)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Filtre à particules conforme à la norme NF EN 143 : P2 (blanc).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Recommandations CEN : EN 136, EN 140, EN 405 pour les masques et EN 143, EN 149 pour les filtres.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En cas de fortes projections : porter des vêtements de protection chimique étanches aux liquides (type 3) conformes à la norme NF EN 14605.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En cas de risque d’éclaboussures : porter des vêtements de protection chimique (type 6) conformes à la norme NF EN 13034.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Le personnel portera un vêtement de travail régulièrement lavé.</w:t>
            </w:r>
          </w:p>
        </w:tc>
      </w:tr>
    </w:tbl>
    <w:bookmarkEnd w:id="51"/>
    <w:bookmarkStart w:id="5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laver les mains après chaque utilisation. - Enlever et laver les vêtements contaminés avant réutilisation. - Assurer une ventilation adéquate, surtout dans les endroits clos. - Garder les emballages fermés. - Manipuler dans des zones bien ventilées. - Ne jamais aspirer ce mélange. - Interdire l’accès aux personnes non autorisées.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(conformément au document:) - Conserver le produit dans son emballage d’origine, fermé hermétiquement. - Garder l’emballage en position verticale. - Stocker dans un endroit sec, bien ventilé, à une température comprise entre +5 °C et +30 °C. - Éloigner le récipient de toute source d’enfants, d’aliments, de boissons (y compris celles destinées aux animaux). - Le sol des locaux doit être imperméable et former une cuvette de rétention pour éviter la dispersion du liquide en cas de déversement. - Ne pas utiliser de contenants en plastique (risque de déformation ou plastification). Incompatibilités à éviter: - Eau (réaction exothermique possible). - Acides. - Agents oxydants.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Peinture et Vernis</w:t>
            </w:r>
          </w:p>
        </w:tc>
      </w:tr>
    </w:tbl>
    <w:bookmarkEnd w:id="52"/>
    <w:bookmarkEnd w:id="5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9" Type="http://schemas.openxmlformats.org/officeDocument/2006/relationships/hyperlink" Target="https://www.inrs.fr/publications/bdd/fichetox/fiche.html?refINRS=FICHETOX_320" TargetMode="External"/><Relationship Id="rId42" Type="http://schemas.openxmlformats.org/officeDocument/2006/relationships/hyperlink" Target="https://www.inrs.fr/publications/bdd/fichetox/fiche.html?refINRS=FICHETOX_320&amp;section=VLEPMesurage" TargetMode="External"/><Relationship Id="rId47" Type="http://schemas.openxmlformats.org/officeDocument/2006/relationships/hyperlink" Target="https://www.inrs.fr/publications/bdd/fichetox/fiche.html?refINRS=FICHETOX_320&amp;section=bibliographieAuteurs" TargetMode="External"/><Relationship Id="rId41" Type="http://schemas.openxmlformats.org/officeDocument/2006/relationships/hyperlink" Target="https://www.inrs.fr/publications/bdd/fichetox/fiche.html?refINRS=FICHETOX_320&amp;section=caracteristiques" TargetMode="External"/><Relationship Id="rId40" Type="http://schemas.openxmlformats.org/officeDocument/2006/relationships/hyperlink" Target="https://www.inrs.fr/publications/bdd/fichetox/fiche.html?refINRS=FICHETOX_320&amp;section=generalites" TargetMode="External"/><Relationship Id="rId43" Type="http://schemas.openxmlformats.org/officeDocument/2006/relationships/hyperlink" Target="https://www.inrs.fr/publications/bdd/fichetox/fiche.html?refINRS=FICHETOX_320&amp;section=incendieExplosion" TargetMode="External"/><Relationship Id="rId44" Type="http://schemas.openxmlformats.org/officeDocument/2006/relationships/hyperlink" Target="https://www.inrs.fr/publications/bdd/fichetox/fiche.html?refINRS=FICHETOX_320&amp;section=pathologieToxicologie" TargetMode="External"/><Relationship Id="rId46" Type="http://schemas.openxmlformats.org/officeDocument/2006/relationships/hyperlink" Target="https://www.inrs.fr/publications/bdd/fichetox/fiche.html?refINRS=FICHETOX_320&amp;section=recommandations" TargetMode="External"/><Relationship Id="rId45" Type="http://schemas.openxmlformats.org/officeDocument/2006/relationships/hyperlink" Target="https://www.inrs.fr/publications/bdd/fichetox/fiche.html?refINRS=FICHETOX_320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9" Type="http://schemas.openxmlformats.org/officeDocument/2006/relationships/hyperlink" Target="https://www.inrs.fr/publications/bdd/fichetox/fiche.html?refINRS=FICHETOX_320" TargetMode="External"/><Relationship Id="rId42" Type="http://schemas.openxmlformats.org/officeDocument/2006/relationships/hyperlink" Target="https://www.inrs.fr/publications/bdd/fichetox/fiche.html?refINRS=FICHETOX_320&amp;section=VLEPMesurage" TargetMode="External"/><Relationship Id="rId47" Type="http://schemas.openxmlformats.org/officeDocument/2006/relationships/hyperlink" Target="https://www.inrs.fr/publications/bdd/fichetox/fiche.html?refINRS=FICHETOX_320&amp;section=bibliographieAuteurs" TargetMode="External"/><Relationship Id="rId41" Type="http://schemas.openxmlformats.org/officeDocument/2006/relationships/hyperlink" Target="https://www.inrs.fr/publications/bdd/fichetox/fiche.html?refINRS=FICHETOX_320&amp;section=caracteristiques" TargetMode="External"/><Relationship Id="rId40" Type="http://schemas.openxmlformats.org/officeDocument/2006/relationships/hyperlink" Target="https://www.inrs.fr/publications/bdd/fichetox/fiche.html?refINRS=FICHETOX_320&amp;section=generalites" TargetMode="External"/><Relationship Id="rId43" Type="http://schemas.openxmlformats.org/officeDocument/2006/relationships/hyperlink" Target="https://www.inrs.fr/publications/bdd/fichetox/fiche.html?refINRS=FICHETOX_320&amp;section=incendieExplosion" TargetMode="External"/><Relationship Id="rId44" Type="http://schemas.openxmlformats.org/officeDocument/2006/relationships/hyperlink" Target="https://www.inrs.fr/publications/bdd/fichetox/fiche.html?refINRS=FICHETOX_320&amp;section=pathologieToxicologie" TargetMode="External"/><Relationship Id="rId46" Type="http://schemas.openxmlformats.org/officeDocument/2006/relationships/hyperlink" Target="https://www.inrs.fr/publications/bdd/fichetox/fiche.html?refINRS=FICHETOX_320&amp;section=recommandations" TargetMode="External"/><Relationship Id="rId45" Type="http://schemas.openxmlformats.org/officeDocument/2006/relationships/hyperlink" Target="https://www.inrs.fr/publications/bdd/fichetox/fiche.html?refINRS=FICHETOX_320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2026-04-02T01:53:03Z</dcterms:created>
  <dcterms:modified xsi:type="dcterms:W3CDTF">2026-04-02T01:53:03Z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