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e-weld2-produitdesoudagerosok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Bio-Circle Surface Technology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e-weld2-produitdesoudagerosok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b880cbd3b100940d9bc9e443f68c2732acfdb92"/>
    <w:p>
      <w:pPr>
        <w:pStyle w:val="Heading1"/>
      </w:pPr>
      <w:r>
        <w:t xml:space="preserve">Analyse des dangers : e-weld2-produitdesoudagerosok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e-weld2-produitdesoudagerosok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Bio-Circle Surface Technology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une poudre fine, poudre, grains, granulés, pastilles, liquide visqueux ou pâte.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de soudage et de brasage.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2018-08-14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2018-08-14.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Contact cutané</w:t>
      </w:r>
      <w:r>
        <w:t xml:space="preserve"> </w:t>
      </w:r>
      <w:r>
        <w:t xml:space="preserve">• Lavez la peau immédiatement à l’eau et au savon en abondance.</w:t>
      </w:r>
      <w:r>
        <w:t xml:space="preserve"> </w:t>
      </w:r>
      <w:r>
        <w:t xml:space="preserve">• Frottez un onguent gras sur la peau.</w:t>
      </w:r>
    </w:p>
    <w:p>
      <w:pPr>
        <w:pStyle w:val="BodyText"/>
      </w:pPr>
      <w:r>
        <w:t xml:space="preserve">yeux : Contact visuel</w:t>
      </w:r>
      <w:r>
        <w:t xml:space="preserve"> </w:t>
      </w:r>
      <w:r>
        <w:t xml:space="preserve">• Rincez les yeux à l’eau, en gardant les paupières ouvertes pendant un temps suffisant.</w:t>
      </w:r>
      <w:r>
        <w:t xml:space="preserve"> </w:t>
      </w:r>
      <w:r>
        <w:t xml:space="preserve">• Consultez immédiatement un ophtalmologiste.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Rincez la bouche immédiatement.</w:t>
      </w:r>
      <w:r>
        <w:t xml:space="preserve"> </w:t>
      </w:r>
      <w:r>
        <w:t xml:space="preserve">• Buvez beaucoup d’eau.</w:t>
      </w:r>
      <w:r>
        <w:t xml:space="preserve"> </w:t>
      </w:r>
      <w:r>
        <w:t xml:space="preserve">• Appelez un médecin immédiatement.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Déplacer la victime à l’air frais.</w:t>
      </w:r>
      <w:r>
        <w:t xml:space="preserve"> </w:t>
      </w:r>
      <w:r>
        <w:t xml:space="preserve">• Maintenir la victime au chaud et au repos.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lcohols-c16-18-ethoxylated-propoxylated"/>
    <w:p>
      <w:pPr>
        <w:pStyle w:val="Heading3"/>
      </w:pPr>
      <w:r>
        <w:t xml:space="preserve">Alcohols, C16-18, ethoxylated, propoxylated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68002-96-0</w:t>
      </w:r>
    </w:p>
    <w:p>
      <w:pPr>
        <w:pStyle w:val="Compact"/>
        <w:numPr>
          <w:ilvl w:val="0"/>
          <w:numId w:val="1004"/>
        </w:numPr>
      </w:pPr>
      <w:r>
        <w:t xml:space="preserve">N° EINECS : 614-209-5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4,999999999999999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Portez des gants de protection pour un contact avec la peau plus durable. • Type de gant : EN 374. • Matière du gant : NBR (caoutchouc nitrile). • Temps de percée (temps de port maximal) : 480 min. • Épaisseur de la matière du gant : 0,4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Portez des lunettes de sécurité adaptées. • Norme de protection oculaire :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pour une manipulation sécurisée (selon le document) 1. Gardez le récipient bien fermé - ne laissez pas le récipient ouvert. 2. Conservez uniquement dans le récipient d’origine - ne transférez pas le produit dans un autre récipient. 3. Protégez contre le gel - gardez le produit à l’écart des températures de congélation. 4. Utilisez la classe de stockage spécifiée - TRGS 510 classe 12. Équipements de protection individuelle (EPI) - lors de la manipulation du produit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pour un stockage sûr, y compris les incompatibilités potentielles : - Ne conserver que dans le récipient d’origine. - Protéger contre le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de soudage et de brasage.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2026-04-02T02:00:21Z</dcterms:created>
  <dcterms:modified xsi:type="dcterms:W3CDTF">2026-04-02T02:00:21Z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