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ecolab-alklanetjod-tub-grez-hainok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ECOLAB Snc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ecolab-alklanetjod-tub-grez-hainok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6" w:name="Xb947f401cf536385c5d5a4866e1f6312ec0574a"/>
    <w:p>
      <w:pPr>
        <w:pStyle w:val="Heading1"/>
      </w:pPr>
      <w:r>
        <w:t xml:space="preserve">Analyse des dangers : ecolab-alklanetjod-tub-grez-hainok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ecolab-alklanetjod-tub-grez-hainok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ECOLAB Snc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5,5 - 7,0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 tous usages (principalement pour les vitres) : application manuelle par pulvérisation et essuyage.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2017-04-19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2017-04-19.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Marchandise non dangereuse</w:t>
      </w:r>
    </w:p>
    <w:p>
      <w:pPr>
        <w:pStyle w:val="Compact"/>
        <w:numPr>
          <w:ilvl w:val="0"/>
          <w:numId w:val="1003"/>
        </w:numPr>
      </w:pPr>
      <w:r>
        <w:t xml:space="preserve">RID : Marchandise non dangereuse</w:t>
      </w:r>
    </w:p>
    <w:p>
      <w:pPr>
        <w:pStyle w:val="Compact"/>
        <w:numPr>
          <w:ilvl w:val="0"/>
          <w:numId w:val="1003"/>
        </w:numPr>
      </w:pPr>
      <w:r>
        <w:t xml:space="preserve">ADN : Marchandise non dangereuse</w:t>
      </w:r>
    </w:p>
    <w:p>
      <w:pPr>
        <w:pStyle w:val="Compact"/>
        <w:numPr>
          <w:ilvl w:val="0"/>
          <w:numId w:val="1003"/>
        </w:numPr>
      </w:pPr>
      <w:r>
        <w:t xml:space="preserve">IMDG : Marchandise non dangereuse</w:t>
      </w:r>
    </w:p>
    <w:p>
      <w:pPr>
        <w:pStyle w:val="Compact"/>
        <w:numPr>
          <w:ilvl w:val="0"/>
          <w:numId w:val="1003"/>
        </w:numPr>
      </w:pPr>
      <w:r>
        <w:t xml:space="preserve">IATA : Marchandise non dangereuse</w:t>
      </w:r>
    </w:p>
    <w:p>
      <w:pPr>
        <w:pStyle w:val="Compact"/>
        <w:numPr>
          <w:ilvl w:val="0"/>
          <w:numId w:val="1003"/>
        </w:numPr>
      </w:pPr>
      <w:r>
        <w:t xml:space="preserve">UN : Marchandise non dangereuse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abondamment à l’eau.</w:t>
      </w:r>
    </w:p>
    <w:p>
      <w:pPr>
        <w:pStyle w:val="BodyText"/>
      </w:pPr>
      <w:r>
        <w:t xml:space="preserve">eyes : Rincer abondamment à l’eau.</w:t>
      </w:r>
    </w:p>
    <w:p>
      <w:pPr>
        <w:pStyle w:val="BodyText"/>
      </w:pPr>
      <w:r>
        <w:t xml:space="preserve">ingestion : Rincer la bouche. Faire appel à une assistance médicale si des symptômes apparaissent.</w:t>
      </w:r>
    </w:p>
    <w:p>
      <w:pPr>
        <w:pStyle w:val="BodyText"/>
      </w:pPr>
      <w:r>
        <w:t xml:space="preserve">inhalation : Faire appel à une assistance médicale si des symptômes apparaissent.</w:t>
      </w:r>
    </w:p>
    <w:p>
      <w:r>
        <w:br w:type="page"/>
      </w:r>
    </w:p>
    <w:bookmarkEnd w:id="31"/>
    <w:bookmarkStart w:id="43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butoxyéthanol"/>
    <w:p>
      <w:pPr>
        <w:pStyle w:val="Heading3"/>
      </w:pPr>
      <w:r>
        <w:t xml:space="preserve">2-butoxyéthanol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111-76-2</w:t>
      </w:r>
    </w:p>
    <w:p>
      <w:pPr>
        <w:pStyle w:val="Compact"/>
        <w:numPr>
          <w:ilvl w:val="0"/>
          <w:numId w:val="1004"/>
        </w:numPr>
      </w:pPr>
      <w:r>
        <w:t xml:space="preserve">N° EINECS : 203-905-0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5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05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5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5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98.0 - VLE-15min (ppm) : 50.0 - VLE-15min (mg/m³) : 246.0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2">
        <w:r>
          <w:rPr>
            <w:rStyle w:val="Hyperlink"/>
            <w:color w:val="0856A0"/>
            <w:u w:val="single"/>
          </w:rPr>
          <w:t xml:space="preserve">Fiche n°76 - 2-Butoxyéthanol</w:t>
        </w:r>
      </w:hyperlink>
    </w:p>
    <w:p>
      <w:pPr>
        <w:numPr>
          <w:ilvl w:val="0"/>
          <w:numId w:val="1006"/>
        </w:numPr>
      </w:pPr>
      <w:hyperlink r:id="rId3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6"/>
        </w:numPr>
      </w:pPr>
      <w:hyperlink r:id="rId3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6"/>
        </w:numPr>
      </w:pPr>
      <w:hyperlink r:id="rId3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6"/>
        </w:numPr>
      </w:pPr>
      <w:hyperlink r:id="rId36">
        <w:r>
          <w:rPr>
            <w:rStyle w:val="Hyperlink"/>
            <w:color w:val="0856A0"/>
            <w:u w:val="single"/>
          </w:rPr>
          <w:t xml:space="preserve">Incendie - Explosion[3, 4]</w:t>
        </w:r>
      </w:hyperlink>
    </w:p>
    <w:p>
      <w:pPr>
        <w:numPr>
          <w:ilvl w:val="0"/>
          <w:numId w:val="1006"/>
        </w:numPr>
      </w:pPr>
      <w:hyperlink r:id="rId3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6"/>
        </w:numPr>
      </w:pPr>
      <w:hyperlink r:id="rId3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6"/>
        </w:numPr>
      </w:pPr>
      <w:hyperlink r:id="rId3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6"/>
        </w:numPr>
      </w:pPr>
      <w:hyperlink r:id="rId4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1"/>
    <w:bookmarkEnd w:id="42"/>
    <w:bookmarkEnd w:id="43"/>
    <w:bookmarkStart w:id="44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44"/>
    <w:bookmarkStart w:id="45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laver les mains après manipulation; porter un équipement de protection individuel (voir section 8).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Tenir hors de portée des enfants. - Maintenir le récipient fermé de manière étanche. - Entreposer dans des conteneurs appropriés bien étiquetés. Température de stockage: -5 °C à 40 °C.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 tous usages (principalement pour les vitres) : application manuelle par pulvérisation et essuyage.</w:t>
            </w:r>
          </w:p>
        </w:tc>
      </w:tr>
    </w:tbl>
    <w:bookmarkEnd w:id="45"/>
    <w:bookmarkEnd w:id="46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2" Type="http://schemas.openxmlformats.org/officeDocument/2006/relationships/hyperlink" Target="https://www.inrs.fr/publications/bdd/fichetox/fiche.html?refINRS=FICHETOX_76" TargetMode="External"/><Relationship Id="rId35" Type="http://schemas.openxmlformats.org/officeDocument/2006/relationships/hyperlink" Target="https://www.inrs.fr/publications/bdd/fichetox/fiche.html?refINRS=FICHETOX_76&amp;section=VLEPMesurage" TargetMode="External"/><Relationship Id="rId40" Type="http://schemas.openxmlformats.org/officeDocument/2006/relationships/hyperlink" Target="https://www.inrs.fr/publications/bdd/fichetox/fiche.html?refINRS=FICHETOX_76&amp;section=bibliographieAuteurs" TargetMode="External"/><Relationship Id="rId34" Type="http://schemas.openxmlformats.org/officeDocument/2006/relationships/hyperlink" Target="https://www.inrs.fr/publications/bdd/fichetox/fiche.html?refINRS=FICHETOX_76&amp;section=caracteristiques" TargetMode="External"/><Relationship Id="rId33" Type="http://schemas.openxmlformats.org/officeDocument/2006/relationships/hyperlink" Target="https://www.inrs.fr/publications/bdd/fichetox/fiche.html?refINRS=FICHETOX_76&amp;section=generalites" TargetMode="External"/><Relationship Id="rId36" Type="http://schemas.openxmlformats.org/officeDocument/2006/relationships/hyperlink" Target="https://www.inrs.fr/publications/bdd/fichetox/fiche.html?refINRS=FICHETOX_76&amp;section=incendieExplosion" TargetMode="External"/><Relationship Id="rId37" Type="http://schemas.openxmlformats.org/officeDocument/2006/relationships/hyperlink" Target="https://www.inrs.fr/publications/bdd/fichetox/fiche.html?refINRS=FICHETOX_76&amp;section=pathologieToxicologie" TargetMode="External"/><Relationship Id="rId39" Type="http://schemas.openxmlformats.org/officeDocument/2006/relationships/hyperlink" Target="https://www.inrs.fr/publications/bdd/fichetox/fiche.html?refINRS=FICHETOX_76&amp;section=recommandations" TargetMode="External"/><Relationship Id="rId38" Type="http://schemas.openxmlformats.org/officeDocument/2006/relationships/hyperlink" Target="https://www.inrs.fr/publications/bdd/fichetox/fiche.html?refINRS=FICHETOX_7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2" Type="http://schemas.openxmlformats.org/officeDocument/2006/relationships/hyperlink" Target="https://www.inrs.fr/publications/bdd/fichetox/fiche.html?refINRS=FICHETOX_76" TargetMode="External"/><Relationship Id="rId35" Type="http://schemas.openxmlformats.org/officeDocument/2006/relationships/hyperlink" Target="https://www.inrs.fr/publications/bdd/fichetox/fiche.html?refINRS=FICHETOX_76&amp;section=VLEPMesurage" TargetMode="External"/><Relationship Id="rId40" Type="http://schemas.openxmlformats.org/officeDocument/2006/relationships/hyperlink" Target="https://www.inrs.fr/publications/bdd/fichetox/fiche.html?refINRS=FICHETOX_76&amp;section=bibliographieAuteurs" TargetMode="External"/><Relationship Id="rId34" Type="http://schemas.openxmlformats.org/officeDocument/2006/relationships/hyperlink" Target="https://www.inrs.fr/publications/bdd/fichetox/fiche.html?refINRS=FICHETOX_76&amp;section=caracteristiques" TargetMode="External"/><Relationship Id="rId33" Type="http://schemas.openxmlformats.org/officeDocument/2006/relationships/hyperlink" Target="https://www.inrs.fr/publications/bdd/fichetox/fiche.html?refINRS=FICHETOX_76&amp;section=generalites" TargetMode="External"/><Relationship Id="rId36" Type="http://schemas.openxmlformats.org/officeDocument/2006/relationships/hyperlink" Target="https://www.inrs.fr/publications/bdd/fichetox/fiche.html?refINRS=FICHETOX_76&amp;section=incendieExplosion" TargetMode="External"/><Relationship Id="rId37" Type="http://schemas.openxmlformats.org/officeDocument/2006/relationships/hyperlink" Target="https://www.inrs.fr/publications/bdd/fichetox/fiche.html?refINRS=FICHETOX_76&amp;section=pathologieToxicologie" TargetMode="External"/><Relationship Id="rId39" Type="http://schemas.openxmlformats.org/officeDocument/2006/relationships/hyperlink" Target="https://www.inrs.fr/publications/bdd/fichetox/fiche.html?refINRS=FICHETOX_76&amp;section=recommandations" TargetMode="External"/><Relationship Id="rId38" Type="http://schemas.openxmlformats.org/officeDocument/2006/relationships/hyperlink" Target="https://www.inrs.fr/publications/bdd/fichetox/fiche.html?refINRS=FICHETOX_7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2026-04-02T02:05:36Z</dcterms:created>
  <dcterms:modified xsi:type="dcterms:W3CDTF">2026-04-02T02:05:36Z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