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ecolab-intowcjod-tub-grez-hainok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ECOLAB Snc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ecolab-intowcjod-tub-grez-hainok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9" w:name="X5aed986f39b1a48e06ef9949d2add2df870d448"/>
    <w:p>
      <w:pPr>
        <w:pStyle w:val="Heading1"/>
      </w:pPr>
      <w:r>
        <w:t xml:space="preserve">Analyse des dangers : ecolab-intowcjod-tub-grez-hainok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ecolab-intowcjod-tub-grez-hainok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ECOLAB Snc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visqueux 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2.1 - 2.4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cuvettes WC.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2017-07-25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2017-07-25.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abondamment à l’eau.</w:t>
      </w:r>
    </w:p>
    <w:p>
      <w:pPr>
        <w:pStyle w:val="BodyText"/>
      </w:pPr>
      <w:r>
        <w:t xml:space="preserve">eyes : • Rincer immédiatement avec beaucoup d’eau, également sous les paupières.</w:t>
      </w:r>
      <w:r>
        <w:t xml:space="preserve"> </w:t>
      </w:r>
      <w:r>
        <w:t xml:space="preserve">• Rincer pendant au moins 15 minutes.</w:t>
      </w:r>
      <w:r>
        <w:t xml:space="preserve"> </w:t>
      </w:r>
      <w:r>
        <w:t xml:space="preserve">• Enlever les lentilles de contact si la victime en porte et si elles peuvent être facilement retirées.</w:t>
      </w:r>
      <w:r>
        <w:t xml:space="preserve"> </w:t>
      </w:r>
      <w:r>
        <w:t xml:space="preserve">• Continuer à rincer.</w:t>
      </w:r>
      <w:r>
        <w:t xml:space="preserve"> </w:t>
      </w:r>
      <w:r>
        <w:t xml:space="preserve">• Faire immédiatement appel à une assistance médicale.</w:t>
      </w:r>
    </w:p>
    <w:p>
      <w:pPr>
        <w:pStyle w:val="BodyText"/>
      </w:pPr>
      <w:r>
        <w:t xml:space="preserve">ingestion : • Rincer la bouche.</w:t>
      </w:r>
      <w:r>
        <w:t xml:space="preserve"> </w:t>
      </w:r>
      <w:r>
        <w:t xml:space="preserve">• Faire appel à une assistance médicale si des symptômes apparaissent.</w:t>
      </w:r>
    </w:p>
    <w:p>
      <w:pPr>
        <w:pStyle w:val="BodyText"/>
      </w:pPr>
      <w:r>
        <w:t xml:space="preserve">inhalation : • Transférer la personne à l’air frais.</w:t>
      </w:r>
      <w:r>
        <w:t xml:space="preserve"> </w:t>
      </w:r>
      <w:r>
        <w:t xml:space="preserve">• Traiter de façon symptomatique.</w:t>
      </w:r>
      <w:r>
        <w:t xml:space="preserve"> </w:t>
      </w:r>
      <w:r>
        <w:t xml:space="preserve">• Faire appel à une assistance médicale si des symptômes apparaissent.</w:t>
      </w:r>
    </w:p>
    <w:p>
      <w:r>
        <w:br w:type="page"/>
      </w:r>
    </w:p>
    <w:bookmarkEnd w:id="37"/>
    <w:bookmarkStart w:id="4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alcool-gras-éthoxylé-d5-eo"/>
    <w:p>
      <w:pPr>
        <w:pStyle w:val="Heading3"/>
      </w:pPr>
      <w:r>
        <w:t xml:space="preserve">Alcool gras éthoxylé d’&gt;5 EO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69011-36-5</w:t>
      </w:r>
    </w:p>
    <w:p>
      <w:pPr>
        <w:pStyle w:val="Compact"/>
        <w:numPr>
          <w:ilvl w:val="0"/>
          <w:numId w:val="1006"/>
        </w:numPr>
      </w:pPr>
      <w:r>
        <w:t xml:space="preserve">N° EINECS : 500-241-6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41" w:name="alcool-gras-éthoxylé-d5-eo-1"/>
    <w:p>
      <w:pPr>
        <w:pStyle w:val="Heading3"/>
      </w:pPr>
      <w:r>
        <w:t xml:space="preserve">Alcool gras éthoxylé d’&gt;5 EO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68920-66-1</w:t>
      </w:r>
    </w:p>
    <w:p>
      <w:pPr>
        <w:pStyle w:val="Compact"/>
        <w:numPr>
          <w:ilvl w:val="0"/>
          <w:numId w:val="1008"/>
        </w:numPr>
      </w:pPr>
      <w:r>
        <w:t xml:space="preserve">N° EINECS : 500-236-9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0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0"/>
    <w:bookmarkEnd w:id="41"/>
    <w:bookmarkStart w:id="43" w:name="alcool-gras-éthoxylé-c15-et-5-oe"/>
    <w:p>
      <w:pPr>
        <w:pStyle w:val="Heading3"/>
      </w:pPr>
      <w:r>
        <w:t xml:space="preserve">Alcool gras éthoxylé =/&lt; C15 et =/&lt;5 OE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68439-50-9</w:t>
      </w:r>
    </w:p>
    <w:p>
      <w:pPr>
        <w:pStyle w:val="Compact"/>
        <w:numPr>
          <w:ilvl w:val="0"/>
          <w:numId w:val="1010"/>
        </w:numPr>
      </w:pPr>
      <w:r>
        <w:t xml:space="preserve">N° EINECS : 500-213-3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1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1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2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2"/>
    <w:bookmarkEnd w:id="43"/>
    <w:bookmarkStart w:id="45" w:name="acide-glycolique"/>
    <w:p>
      <w:pPr>
        <w:pStyle w:val="Heading3"/>
      </w:pPr>
      <w:r>
        <w:t xml:space="preserve">Acide glycolique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79-14-1</w:t>
      </w:r>
    </w:p>
    <w:p>
      <w:pPr>
        <w:pStyle w:val="Compact"/>
        <w:numPr>
          <w:ilvl w:val="0"/>
          <w:numId w:val="1012"/>
        </w:numPr>
      </w:pPr>
      <w:r>
        <w:t xml:space="preserve">N° EINECS : 201-180-5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3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4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4"/>
    <w:bookmarkEnd w:id="45"/>
    <w:bookmarkEnd w:id="46"/>
    <w:bookmarkStart w:id="4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à protection intégrale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+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Écran facial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(conforme à la norme EN 166).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Aucune protection respiratoire requise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si les concentrations dans l’air restent en dessous de la valeur limite d’exposition.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En cas de dépassement de ces limites, il faut utiliser un équipement de protection respiratoire certifié conforme aux exigences réglementaires européennes (ex. 89/656/EEC ou 89/686/EEC) ou équivalent.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47"/>
    <w:bookmarkStart w:id="4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Éviter tout contact avec les yeux, la peau ou les vêtements. - Ne pas respirer les poussières, fumées, gaz, brouillards, vapeurs ou aérosols. - N’utiliser qu’avec une ventilation adéquate. - Se laver soigneusement les mains après manipulation. - Ne pas mélanger avec un agent de blanchiment ou d’autres produits chlorés – cela dégagera du chlore gazeux.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 : - Tenir hors de portée des enfants. - Maintenir le récipient fermé de manière étanche. - Entreposer dans des conteneurs appropriés bien étiquetés. - Température de stockage : 0 °C à 40 °C. Incompatibilités : - Aucun matériau incompatible connu.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 cuvettes WC.</w:t>
            </w:r>
          </w:p>
        </w:tc>
      </w:tr>
    </w:tbl>
    <w:bookmarkEnd w:id="48"/>
    <w:bookmarkEnd w:id="4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2026-04-02T02:14:08Z</dcterms:created>
  <dcterms:modified xsi:type="dcterms:W3CDTF">2026-04-02T02:14:08Z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