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ecolab-mistraljod-tub-grez-hainok</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Ecolab B.V.B.A./S.P.R.L.</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ecolab-mistraljod-tub-grez-hainok</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2" w:name="X5311644aca7a5e2fabf5ffea7405acf84cb7c25"/>
    <w:p>
      <w:pPr>
        <w:pStyle w:val="Heading1"/>
      </w:pPr>
      <w:r>
        <w:t xml:space="preserve">Analyse des dangers : ecolab-mistraljod-tub-grez-hainok</w:t>
      </w:r>
    </w:p>
    <w:p>
      <w:pPr>
        <w:pStyle w:val="FirstParagraph"/>
      </w:pPr>
      <w:r>
        <w:t xml:space="preserve">Dans la suite, nous détaillons les dangers associés au produit</w:t>
      </w:r>
      <w:r>
        <w:t xml:space="preserve"> </w:t>
      </w:r>
      <w:r>
        <w:rPr>
          <w:b/>
          <w:bCs/>
        </w:rPr>
        <w:t xml:space="preserve">ecolab-mistraljod-tub-grez-hainok</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Ecolab B.V.B.A./S.P.R.L.</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9,6 à 10,4</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Détergent pour l’entretien toutes surfaces, produit uniquement pour usage professionnel.</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2012-01-25</w:t>
            </w:r>
          </w:p>
        </w:tc>
      </w:tr>
    </w:tbl>
    <w:p>
      <w:pPr>
        <w:pStyle w:val="BodyText"/>
      </w:pPr>
      <w:r>
        <w:t xml:space="preserve"> </w:t>
      </w:r>
      <w:r>
        <w:t xml:space="preserve">La FDS date du 2012-01-25. Elle a donc 14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0"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Not Applicable</w:t>
      </w:r>
    </w:p>
    <w:p>
      <w:pPr>
        <w:pStyle w:val="BodyText"/>
      </w:pPr>
      <w:r>
        <w:rPr>
          <w:b/>
          <w:bCs/>
        </w:rPr>
        <w:t xml:space="preserve">Pictogrammes (SGH)</w:t>
      </w:r>
      <w:r>
        <w:t xml:space="preserve"> </w:t>
      </w:r>
      <w:r>
        <w:t xml:space="preserve">:</w:t>
      </w:r>
    </w:p>
    <w:p>
      <w:pPr>
        <w:pStyle w:val="BodyText"/>
      </w:pPr>
      <w:r>
        <w:rPr>
          <w:b/>
          <w:bCs/>
        </w:rPr>
        <w:t xml:space="preserve">Mentions de danger</w:t>
      </w:r>
      <w:r>
        <w:t xml:space="preserve"> </w:t>
      </w:r>
      <w:r>
        <w:t xml:space="preserve">:</w:t>
      </w:r>
    </w:p>
    <w:p>
      <w:pPr>
        <w:pStyle w:val="BodyText"/>
      </w:pPr>
      <w:r>
        <w:rPr>
          <w:b/>
          <w:bCs/>
        </w:rPr>
        <w:t xml:space="preserve">Conseils de prudence</w:t>
      </w:r>
      <w:r>
        <w:t xml:space="preserve"> </w:t>
      </w:r>
      <w:r>
        <w:t xml:space="preserve">:</w:t>
      </w:r>
    </w:p>
    <w:p>
      <w:pPr>
        <w:pStyle w:val="BodyText"/>
      </w:pPr>
      <w:r>
        <w:rPr>
          <w:b/>
          <w:bCs/>
        </w:rPr>
        <w:t xml:space="preserve">Transport</w:t>
      </w:r>
      <w:r>
        <w:t xml:space="preserve"> </w:t>
      </w:r>
      <w:r>
        <w:t xml:space="preserve">:</w:t>
      </w:r>
    </w:p>
    <w:p>
      <w:pPr>
        <w:pStyle w:val="Compact"/>
        <w:numPr>
          <w:ilvl w:val="0"/>
          <w:numId w:val="1003"/>
        </w:numPr>
      </w:pPr>
      <w:r>
        <w:t xml:space="preserve">ADR : -</w:t>
      </w:r>
    </w:p>
    <w:p>
      <w:pPr>
        <w:pStyle w:val="Compact"/>
        <w:numPr>
          <w:ilvl w:val="0"/>
          <w:numId w:val="1003"/>
        </w:numPr>
      </w:pPr>
      <w:r>
        <w:t xml:space="preserve">RID : -</w:t>
      </w:r>
    </w:p>
    <w:p>
      <w:pPr>
        <w:pStyle w:val="Compact"/>
        <w:numPr>
          <w:ilvl w:val="0"/>
          <w:numId w:val="1003"/>
        </w:numPr>
      </w:pPr>
      <w:r>
        <w:t xml:space="preserve">ADN : -</w:t>
      </w:r>
    </w:p>
    <w:p>
      <w:pPr>
        <w:pStyle w:val="Compact"/>
        <w:numPr>
          <w:ilvl w:val="0"/>
          <w:numId w:val="1003"/>
        </w:numPr>
      </w:pPr>
      <w:r>
        <w:t xml:space="preserve">IMDG : -</w:t>
      </w:r>
    </w:p>
    <w:p>
      <w:pPr>
        <w:pStyle w:val="Compact"/>
        <w:numPr>
          <w:ilvl w:val="0"/>
          <w:numId w:val="1003"/>
        </w:numPr>
      </w:pPr>
      <w:r>
        <w:t xml:space="preserve">IATA : -</w:t>
      </w:r>
    </w:p>
    <w:p>
      <w:pPr>
        <w:pStyle w:val="Compact"/>
        <w:numPr>
          <w:ilvl w:val="0"/>
          <w:numId w:val="1003"/>
        </w:numPr>
      </w:pPr>
      <w:r>
        <w:t xml:space="preserve">UN : -</w:t>
      </w:r>
    </w:p>
    <w:bookmarkEnd w:id="30"/>
    <w:bookmarkStart w:id="31" w:name="Xda6f178de632779b007ca26fa4959a763d2c7f4"/>
    <w:p>
      <w:pPr>
        <w:pStyle w:val="Heading2"/>
      </w:pPr>
      <w:r>
        <w:t xml:space="preserve">Dangers et/ou mesures par voie d’exposition</w:t>
      </w:r>
    </w:p>
    <w:p>
      <w:pPr>
        <w:pStyle w:val="FirstParagraph"/>
      </w:pPr>
      <w:r>
        <w:t xml:space="preserve">skin : Rincer la peau contaminée à grande eau.</w:t>
      </w:r>
      <w:r>
        <w:t xml:space="preserve"> </w:t>
      </w:r>
      <w:r>
        <w:t xml:space="preserve">Retirer les vêtements et les chaussures contaminés.</w:t>
      </w:r>
      <w:r>
        <w:t xml:space="preserve"> </w:t>
      </w:r>
      <w:r>
        <w:t xml:space="preserve">Consulter un médecin si des symptômes se développent.</w:t>
      </w:r>
      <w:r>
        <w:t xml:space="preserve"> </w:t>
      </w:r>
      <w:r>
        <w:t xml:space="preserve">Laver les vêtements avant de les réutiliser.</w:t>
      </w:r>
      <w:r>
        <w:t xml:space="preserve"> </w:t>
      </w:r>
      <w:r>
        <w:t xml:space="preserve">Laver les chaussures à fond avant de les remettre.</w:t>
      </w:r>
    </w:p>
    <w:p>
      <w:pPr>
        <w:pStyle w:val="BodyText"/>
      </w:pPr>
      <w:r>
        <w:t xml:space="preserve">eyes : Rincer immédiatement les yeux à grande eau.</w:t>
      </w:r>
      <w:r>
        <w:t xml:space="preserve"> </w:t>
      </w:r>
      <w:r>
        <w:t xml:space="preserve">Soulever de temps en temps les paupières supérieures et inférieures pendant le rinçage.</w:t>
      </w:r>
      <w:r>
        <w:t xml:space="preserve"> </w:t>
      </w:r>
      <w:r>
        <w:t xml:space="preserve">Vérifier si la victime porte des verres de contact ; si oui, les enlever.</w:t>
      </w:r>
      <w:r>
        <w:t xml:space="preserve"> </w:t>
      </w:r>
      <w:r>
        <w:t xml:space="preserve">Continuer le rinçage pendant au moins 15 minutes.</w:t>
      </w:r>
      <w:r>
        <w:t xml:space="preserve"> </w:t>
      </w:r>
      <w:r>
        <w:t xml:space="preserve">Appeler un médecin en cas de persistance ou d’aggravation des effets néfastes sur la santé.</w:t>
      </w:r>
    </w:p>
    <w:p>
      <w:pPr>
        <w:pStyle w:val="BodyText"/>
      </w:pPr>
      <w:r>
        <w:t xml:space="preserve">ingestion : Rincer la bouche avec de l’eau.</w:t>
      </w:r>
      <w:r>
        <w:t xml:space="preserve"> </w:t>
      </w:r>
      <w:r>
        <w:t xml:space="preserve">Enlever les prothèses dentaires s’il y a lieu.</w:t>
      </w:r>
      <w:r>
        <w:t xml:space="preserve"> </w:t>
      </w:r>
      <w:r>
        <w:t xml:space="preserve">Transporter la victime à l’extérieur et la maintenir au repos dans une position où elle peut respirer confortablement.</w:t>
      </w:r>
      <w:r>
        <w:t xml:space="preserve"> </w:t>
      </w:r>
      <w:r>
        <w:t xml:space="preserve">Ne pas faire vomir sauf indication contraire d’un personnel médical.</w:t>
      </w:r>
      <w:r>
        <w:t xml:space="preserve"> </w:t>
      </w:r>
      <w:r>
        <w:t xml:space="preserve">En cas de vomissement, maintenir la tête vers le bas pour empêcher le passage des vomissures dans les poumons.</w:t>
      </w:r>
      <w:r>
        <w:t xml:space="preserve"> </w:t>
      </w:r>
      <w:r>
        <w:t xml:space="preserve">Ne rien faire ingérer à une personne inconsciente.</w:t>
      </w:r>
      <w:r>
        <w:t xml:space="preserve"> </w:t>
      </w:r>
      <w:r>
        <w:t xml:space="preserve">En cas d’évanouissement, placer la personne en position latérale de sécurité et appeler immédiatement un médecin.</w:t>
      </w:r>
      <w:r>
        <w:t xml:space="preserve"> </w:t>
      </w:r>
      <w:r>
        <w:t xml:space="preserve">S’assurer d’une bonne circulation d’air et détacher tout ce qui pourrait être serré (col, cravate, ceinture, ceinturon).</w:t>
      </w:r>
    </w:p>
    <w:p>
      <w:pPr>
        <w:pStyle w:val="BodyText"/>
      </w:pPr>
      <w:r>
        <w:t xml:space="preserve">inhalation : Transporter la victime à l’extérieur.</w:t>
      </w:r>
      <w:r>
        <w:t xml:space="preserve"> </w:t>
      </w:r>
      <w:r>
        <w:t xml:space="preserve">Maintenir la victime au repos dans une position où elle peut respirer confortablement.</w:t>
      </w:r>
      <w:r>
        <w:t xml:space="preserve"> </w:t>
      </w:r>
      <w:r>
        <w:t xml:space="preserve">Si la victime ne respire pas, ou présente une respiration irrégulière ou un arrêt respiratoire, le personnel qualifié doit pratiquer la respiration artificielle ou administrer de l’oxygène.</w:t>
      </w:r>
      <w:r>
        <w:t xml:space="preserve"> </w:t>
      </w:r>
      <w:r>
        <w:t xml:space="preserve">Éviter la pratique du bouche‑à‑bouche, car elle peut être dangereuse.</w:t>
      </w:r>
      <w:r>
        <w:t xml:space="preserve"> </w:t>
      </w:r>
      <w:r>
        <w:t xml:space="preserve">Appeler un médecin en cas de persistance ou d’aggravation des effets néfastes sur la santé.</w:t>
      </w:r>
      <w:r>
        <w:t xml:space="preserve"> </w:t>
      </w:r>
      <w:r>
        <w:t xml:space="preserve">En cas d’évanouissement, placer la personne en position latérale de sécurité et appeler immédiatement un médecin.</w:t>
      </w:r>
      <w:r>
        <w:t xml:space="preserve"> </w:t>
      </w:r>
      <w:r>
        <w:t xml:space="preserve">S’assurer d’une bonne circulation d’air et détacher tout ce qui pourrait être serré (col, cravate, ceinture, ceinturon).</w:t>
      </w:r>
    </w:p>
    <w:p>
      <w:r>
        <w:br w:type="page"/>
      </w:r>
    </w:p>
    <w:bookmarkEnd w:id="31"/>
    <w:bookmarkStart w:id="49" w:name="Xd3fd47f9279b52cc9d4b00e07bdfde0bea6594f"/>
    <w:p>
      <w:pPr>
        <w:pStyle w:val="Heading2"/>
      </w:pPr>
      <w:r>
        <w:t xml:space="preserve">Informations relatives aux substances dangereuses présentes</w:t>
      </w:r>
    </w:p>
    <w:bookmarkStart w:id="33" w:name="X7f5f175d22e216fc75f05a41fe557ef8049b861"/>
    <w:p>
      <w:pPr>
        <w:pStyle w:val="Heading3"/>
      </w:pPr>
      <w:r>
        <w:t xml:space="preserve">Acide benzènesulfonique, dérivés alkyles en C10-13, sels de sodium</w:t>
      </w:r>
    </w:p>
    <w:p>
      <w:pPr>
        <w:pStyle w:val="FirstParagraph"/>
      </w:pPr>
      <w:r>
        <w:rPr>
          <w:b/>
          <w:bCs/>
        </w:rPr>
        <w:t xml:space="preserve">Identification</w:t>
      </w:r>
    </w:p>
    <w:p>
      <w:pPr>
        <w:pStyle w:val="Compact"/>
        <w:numPr>
          <w:ilvl w:val="0"/>
          <w:numId w:val="1004"/>
        </w:numPr>
      </w:pPr>
      <w:r>
        <w:t xml:space="preserve">N° CAS : 68411-30-3</w:t>
      </w:r>
    </w:p>
    <w:p>
      <w:pPr>
        <w:pStyle w:val="Compact"/>
        <w:numPr>
          <w:ilvl w:val="0"/>
          <w:numId w:val="1004"/>
        </w:numPr>
      </w:pPr>
      <w:r>
        <w:t xml:space="preserve">N° EINECS : 270-115-0</w:t>
      </w:r>
    </w:p>
    <w:p>
      <w:pPr>
        <w:pStyle w:val="FirstParagraph"/>
      </w:pPr>
      <w:r>
        <w:rPr>
          <w:b/>
          <w:bCs/>
        </w:rPr>
        <w:t xml:space="preserve">Concentration</w:t>
      </w:r>
      <w:r>
        <w:t xml:space="preserve"> </w:t>
      </w:r>
      <w:r>
        <w:t xml:space="preserve">:from 5.0 to 7.0</w:t>
      </w:r>
    </w:p>
    <w:p>
      <w:pPr>
        <w:pStyle w:val="BodyText"/>
      </w:pPr>
      <w:r>
        <w:rPr>
          <w:b/>
          <w:bCs/>
        </w:rPr>
        <w:t xml:space="preserve">Dangers</w:t>
      </w:r>
      <w:r>
        <w:t xml:space="preserve"> </w:t>
      </w:r>
      <w:r>
        <w:t xml:space="preserve">:</w:t>
      </w:r>
    </w:p>
    <w:p>
      <w:pPr>
        <w:numPr>
          <w:ilvl w:val="0"/>
          <w:numId w:val="1005"/>
        </w:numPr>
      </w:pPr>
      <w:r>
        <w:t xml:space="preserve">H226</w:t>
      </w:r>
      <w:r>
        <w:t xml:space="preserve"> </w:t>
      </w:r>
      <w:r>
        <w:t xml:space="preserve">Liquide et vapeurs inflammables.</w:t>
      </w:r>
    </w:p>
    <w:p>
      <w:pPr>
        <w:numPr>
          <w:ilvl w:val="0"/>
          <w:numId w:val="1005"/>
        </w:numPr>
      </w:pPr>
      <w:r>
        <w:t xml:space="preserve">H302</w:t>
      </w:r>
      <w:r>
        <w:t xml:space="preserve"> </w:t>
      </w:r>
      <w:r>
        <w:t xml:space="preserve">Nocif en cas d’ingestion.</w:t>
      </w:r>
    </w:p>
    <w:p>
      <w:pPr>
        <w:numPr>
          <w:ilvl w:val="0"/>
          <w:numId w:val="1005"/>
        </w:numPr>
      </w:pPr>
      <w:r>
        <w:t xml:space="preserve">H315</w:t>
      </w:r>
      <w:r>
        <w:t xml:space="preserve"> </w:t>
      </w:r>
      <w:r>
        <w:t xml:space="preserve">Provoque une irritation cutanée.</w:t>
      </w:r>
    </w:p>
    <w:p>
      <w:pPr>
        <w:numPr>
          <w:ilvl w:val="0"/>
          <w:numId w:val="1005"/>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32" w:name="propriétés"/>
    <w:p>
      <w:pPr>
        <w:pStyle w:val="Heading4"/>
      </w:pPr>
      <w:r>
        <w:t xml:space="preserve">Propriétés</w:t>
      </w:r>
    </w:p>
    <w:p>
      <w:pPr>
        <w:pStyle w:val="FirstParagraph"/>
      </w:pPr>
      <w:r>
        <w:t xml:space="preserve">Pas d’informations disponible.</w:t>
      </w:r>
    </w:p>
    <w:bookmarkEnd w:id="32"/>
    <w:bookmarkEnd w:id="33"/>
    <w:bookmarkStart w:id="44" w:name="Xf78e6c953460388217739cf8ee576e237c2ba69"/>
    <w:p>
      <w:pPr>
        <w:pStyle w:val="Heading3"/>
      </w:pPr>
      <w:r>
        <w:t xml:space="preserve">2-butoxyéthanol (butyglycol) arylsulfonate (cumènesulfonate de sodium)</w:t>
      </w:r>
    </w:p>
    <w:p>
      <w:pPr>
        <w:pStyle w:val="FirstParagraph"/>
      </w:pPr>
      <w:r>
        <w:rPr>
          <w:b/>
          <w:bCs/>
        </w:rPr>
        <w:t xml:space="preserve">Identification</w:t>
      </w:r>
    </w:p>
    <w:p>
      <w:pPr>
        <w:pStyle w:val="Compact"/>
        <w:numPr>
          <w:ilvl w:val="0"/>
          <w:numId w:val="1006"/>
        </w:numPr>
      </w:pPr>
      <w:r>
        <w:t xml:space="preserve">N° CAS : 111-76-2</w:t>
      </w:r>
    </w:p>
    <w:p>
      <w:pPr>
        <w:pStyle w:val="Compact"/>
        <w:numPr>
          <w:ilvl w:val="0"/>
          <w:numId w:val="1006"/>
        </w:numPr>
      </w:pPr>
      <w:r>
        <w:t xml:space="preserve">N° EINECS : 203-905-0</w:t>
      </w:r>
    </w:p>
    <w:p>
      <w:pPr>
        <w:pStyle w:val="FirstParagraph"/>
      </w:pPr>
      <w:r>
        <w:rPr>
          <w:b/>
          <w:bCs/>
        </w:rPr>
        <w:t xml:space="preserve">Concentration</w:t>
      </w:r>
      <w:r>
        <w:t xml:space="preserve"> </w:t>
      </w:r>
      <w:r>
        <w:t xml:space="preserve">:from 3.0 to 5.0</w:t>
      </w:r>
    </w:p>
    <w:p>
      <w:pPr>
        <w:pStyle w:val="BodyText"/>
      </w:pPr>
      <w:r>
        <w:rPr>
          <w:b/>
          <w:bCs/>
        </w:rPr>
        <w:t xml:space="preserve">Dangers</w:t>
      </w:r>
      <w:r>
        <w:t xml:space="preserve"> </w:t>
      </w:r>
      <w:r>
        <w:t xml:space="preserve">:</w:t>
      </w:r>
    </w:p>
    <w:p>
      <w:pPr>
        <w:numPr>
          <w:ilvl w:val="0"/>
          <w:numId w:val="1007"/>
        </w:numPr>
      </w:pPr>
      <w:r>
        <w:t xml:space="preserve">H226</w:t>
      </w:r>
      <w:r>
        <w:t xml:space="preserve"> </w:t>
      </w:r>
      <w:r>
        <w:t xml:space="preserve">Liquide et vapeurs inflammables.</w:t>
      </w:r>
    </w:p>
    <w:p>
      <w:pPr>
        <w:numPr>
          <w:ilvl w:val="0"/>
          <w:numId w:val="1007"/>
        </w:numPr>
      </w:pPr>
      <w:r>
        <w:t xml:space="preserve">H302</w:t>
      </w:r>
      <w:r>
        <w:t xml:space="preserve"> </w:t>
      </w:r>
      <w:r>
        <w:t xml:space="preserve">Nocif en cas d’ingestion.</w:t>
      </w:r>
    </w:p>
    <w:p>
      <w:pPr>
        <w:numPr>
          <w:ilvl w:val="0"/>
          <w:numId w:val="1007"/>
        </w:numPr>
      </w:pPr>
      <w:r>
        <w:t xml:space="preserve">H312</w:t>
      </w:r>
      <w:r>
        <w:t xml:space="preserve"> </w:t>
      </w:r>
      <w:r>
        <w:t xml:space="preserve">Nocif par contact cutané.</w:t>
      </w:r>
    </w:p>
    <w:p>
      <w:pPr>
        <w:numPr>
          <w:ilvl w:val="0"/>
          <w:numId w:val="1007"/>
        </w:numPr>
      </w:pPr>
      <w:r>
        <w:t xml:space="preserve">H315</w:t>
      </w:r>
      <w:r>
        <w:t xml:space="preserve"> </w:t>
      </w:r>
      <w:r>
        <w:t xml:space="preserve">Provoque une irritation cutanée.</w:t>
      </w:r>
    </w:p>
    <w:p>
      <w:pPr>
        <w:numPr>
          <w:ilvl w:val="0"/>
          <w:numId w:val="1007"/>
        </w:numPr>
      </w:pPr>
      <w:r>
        <w:t xml:space="preserve">H319</w:t>
      </w:r>
      <w:r>
        <w:t xml:space="preserve"> </w:t>
      </w:r>
      <w:r>
        <w:t xml:space="preserve">Provoque une sévère irritation des yeux.</w:t>
      </w:r>
    </w:p>
    <w:p>
      <w:pPr>
        <w:numPr>
          <w:ilvl w:val="0"/>
          <w:numId w:val="1007"/>
        </w:numPr>
      </w:pPr>
      <w:r>
        <w:t xml:space="preserve">H332</w:t>
      </w:r>
      <w:r>
        <w:t xml:space="preserve"> </w:t>
      </w:r>
      <w:r>
        <w:t xml:space="preserve">Nocif par inhalation.</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20.0 - VLE-8h (mg/m³) : 98.0 - VLE-15min (ppm) : 50.0 - VLE-15min (mg/m³) : 246.0</w:t>
            </w:r>
          </w:p>
        </w:tc>
      </w:tr>
    </w:tbl>
    <w:bookmarkStart w:id="43" w:name="propriétés-1"/>
    <w:p>
      <w:pPr>
        <w:pStyle w:val="Heading4"/>
      </w:pPr>
      <w:r>
        <w:t xml:space="preserve">Propriétés</w:t>
      </w:r>
    </w:p>
    <w:p>
      <w:pPr>
        <w:pStyle w:val="FirstParagraph"/>
      </w:pPr>
      <w:hyperlink r:id="rId34">
        <w:r>
          <w:rPr>
            <w:rStyle w:val="Hyperlink"/>
            <w:color w:val="0856A0"/>
            <w:u w:val="single"/>
          </w:rPr>
          <w:t xml:space="preserve">Fiche n°76 - 2-Butoxyéthanol</w:t>
        </w:r>
      </w:hyperlink>
    </w:p>
    <w:p>
      <w:pPr>
        <w:numPr>
          <w:ilvl w:val="0"/>
          <w:numId w:val="1008"/>
        </w:numPr>
      </w:pPr>
      <w:hyperlink r:id="rId35">
        <w:r>
          <w:rPr>
            <w:rStyle w:val="Hyperlink"/>
            <w:color w:val="0856A0"/>
            <w:u w:val="single"/>
          </w:rPr>
          <w:t xml:space="preserve">Généralités</w:t>
        </w:r>
      </w:hyperlink>
    </w:p>
    <w:p>
      <w:pPr>
        <w:numPr>
          <w:ilvl w:val="0"/>
          <w:numId w:val="1008"/>
        </w:numPr>
      </w:pPr>
      <w:hyperlink r:id="rId36">
        <w:r>
          <w:rPr>
            <w:rStyle w:val="Hyperlink"/>
            <w:color w:val="0856A0"/>
            <w:u w:val="single"/>
          </w:rPr>
          <w:t xml:space="preserve">Caractéristiques</w:t>
        </w:r>
      </w:hyperlink>
    </w:p>
    <w:p>
      <w:pPr>
        <w:numPr>
          <w:ilvl w:val="0"/>
          <w:numId w:val="1008"/>
        </w:numPr>
      </w:pPr>
      <w:hyperlink r:id="rId37">
        <w:r>
          <w:rPr>
            <w:rStyle w:val="Hyperlink"/>
            <w:color w:val="0856A0"/>
            <w:u w:val="single"/>
          </w:rPr>
          <w:t xml:space="preserve">VLEPMesurage</w:t>
        </w:r>
      </w:hyperlink>
    </w:p>
    <w:p>
      <w:pPr>
        <w:numPr>
          <w:ilvl w:val="0"/>
          <w:numId w:val="1008"/>
        </w:numPr>
      </w:pPr>
      <w:hyperlink r:id="rId38">
        <w:r>
          <w:rPr>
            <w:rStyle w:val="Hyperlink"/>
            <w:color w:val="0856A0"/>
            <w:u w:val="single"/>
          </w:rPr>
          <w:t xml:space="preserve">Incendie - Explosion[3, 4]</w:t>
        </w:r>
      </w:hyperlink>
    </w:p>
    <w:p>
      <w:pPr>
        <w:numPr>
          <w:ilvl w:val="0"/>
          <w:numId w:val="1008"/>
        </w:numPr>
      </w:pPr>
      <w:hyperlink r:id="rId39">
        <w:r>
          <w:rPr>
            <w:rStyle w:val="Hyperlink"/>
            <w:color w:val="0856A0"/>
            <w:u w:val="single"/>
          </w:rPr>
          <w:t xml:space="preserve">Pathologie - Toxicologie</w:t>
        </w:r>
      </w:hyperlink>
    </w:p>
    <w:p>
      <w:pPr>
        <w:numPr>
          <w:ilvl w:val="0"/>
          <w:numId w:val="1008"/>
        </w:numPr>
      </w:pPr>
      <w:hyperlink r:id="rId40">
        <w:r>
          <w:rPr>
            <w:rStyle w:val="Hyperlink"/>
            <w:color w:val="0856A0"/>
            <w:u w:val="single"/>
          </w:rPr>
          <w:t xml:space="preserve">Règlementation</w:t>
        </w:r>
      </w:hyperlink>
    </w:p>
    <w:p>
      <w:pPr>
        <w:numPr>
          <w:ilvl w:val="0"/>
          <w:numId w:val="1008"/>
        </w:numPr>
      </w:pPr>
      <w:hyperlink r:id="rId41">
        <w:r>
          <w:rPr>
            <w:rStyle w:val="Hyperlink"/>
            <w:color w:val="0856A0"/>
            <w:u w:val="single"/>
          </w:rPr>
          <w:t xml:space="preserve">Recommandations</w:t>
        </w:r>
      </w:hyperlink>
    </w:p>
    <w:p>
      <w:pPr>
        <w:numPr>
          <w:ilvl w:val="0"/>
          <w:numId w:val="1008"/>
        </w:numPr>
      </w:pPr>
      <w:hyperlink r:id="rId42">
        <w:r>
          <w:rPr>
            <w:rStyle w:val="Hyperlink"/>
            <w:color w:val="0856A0"/>
            <w:u w:val="single"/>
          </w:rPr>
          <w:t xml:space="preserve">Bibliographie</w:t>
        </w:r>
      </w:hyperlink>
    </w:p>
    <w:bookmarkEnd w:id="43"/>
    <w:bookmarkEnd w:id="44"/>
    <w:bookmarkStart w:id="46" w:name="ether-sulfate-d-alcool-gras"/>
    <w:p>
      <w:pPr>
        <w:pStyle w:val="Heading3"/>
      </w:pPr>
      <w:r>
        <w:t xml:space="preserve">ETHER SULFATE D ALCOOL GRAS</w:t>
      </w:r>
    </w:p>
    <w:p>
      <w:pPr>
        <w:pStyle w:val="FirstParagraph"/>
      </w:pPr>
      <w:r>
        <w:rPr>
          <w:b/>
          <w:bCs/>
        </w:rPr>
        <w:t xml:space="preserve">Identification</w:t>
      </w:r>
    </w:p>
    <w:p>
      <w:pPr>
        <w:pStyle w:val="Compact"/>
        <w:numPr>
          <w:ilvl w:val="0"/>
          <w:numId w:val="1009"/>
        </w:numPr>
      </w:pPr>
      <w:r>
        <w:t xml:space="preserve">N° CAS : 28348-53-0</w:t>
      </w:r>
    </w:p>
    <w:p>
      <w:pPr>
        <w:pStyle w:val="Compact"/>
        <w:numPr>
          <w:ilvl w:val="0"/>
          <w:numId w:val="1009"/>
        </w:numPr>
      </w:pPr>
      <w:r>
        <w:t xml:space="preserve">N° EINECS : 248-983-7</w:t>
      </w:r>
    </w:p>
    <w:p>
      <w:pPr>
        <w:pStyle w:val="FirstParagraph"/>
      </w:pPr>
      <w:r>
        <w:rPr>
          <w:b/>
          <w:bCs/>
        </w:rPr>
        <w:t xml:space="preserve">Concentration</w:t>
      </w:r>
      <w:r>
        <w:t xml:space="preserve"> </w:t>
      </w:r>
      <w:r>
        <w:t xml:space="preserve">:from 1.0 to 5.0</w:t>
      </w:r>
    </w:p>
    <w:p>
      <w:pPr>
        <w:pStyle w:val="BodyText"/>
      </w:pPr>
      <w:r>
        <w:rPr>
          <w:b/>
          <w:bCs/>
        </w:rPr>
        <w:t xml:space="preserve">Dangers</w:t>
      </w:r>
      <w:r>
        <w:t xml:space="preserve"> </w:t>
      </w:r>
      <w:r>
        <w:t xml:space="preserve">:</w:t>
      </w:r>
    </w:p>
    <w:p>
      <w:pPr>
        <w:numPr>
          <w:ilvl w:val="0"/>
          <w:numId w:val="1010"/>
        </w:numPr>
      </w:pPr>
      <w:r>
        <w:t xml:space="preserve">H304</w:t>
      </w:r>
      <w:r>
        <w:t xml:space="preserve"> </w:t>
      </w:r>
      <w:r>
        <w:t xml:space="preserve">Peut être mortel en cas d’ingestion et de pénétration dans les voies respiratoires.</w:t>
      </w:r>
    </w:p>
    <w:p>
      <w:pPr>
        <w:numPr>
          <w:ilvl w:val="0"/>
          <w:numId w:val="1010"/>
        </w:numPr>
      </w:pPr>
      <w:r>
        <w:t xml:space="preserve">H411</w:t>
      </w:r>
      <w:r>
        <w:t xml:space="preserve"> </w:t>
      </w:r>
      <w:r>
        <w:t xml:space="preserve">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5" w:name="propriétés-2"/>
    <w:p>
      <w:pPr>
        <w:pStyle w:val="Heading4"/>
      </w:pPr>
      <w:r>
        <w:t xml:space="preserve">Propriétés</w:t>
      </w:r>
    </w:p>
    <w:p>
      <w:pPr>
        <w:pStyle w:val="FirstParagraph"/>
      </w:pPr>
      <w:r>
        <w:t xml:space="preserve">Pas d’informations disponible.</w:t>
      </w:r>
    </w:p>
    <w:bookmarkEnd w:id="45"/>
    <w:bookmarkEnd w:id="46"/>
    <w:bookmarkStart w:id="48" w:name="ingrédient-de-parfum"/>
    <w:p>
      <w:pPr>
        <w:pStyle w:val="Heading3"/>
      </w:pPr>
      <w:r>
        <w:t xml:space="preserve">Ingrédient de parfum</w:t>
      </w:r>
    </w:p>
    <w:p>
      <w:pPr>
        <w:pStyle w:val="FirstParagraph"/>
      </w:pPr>
      <w:r>
        <w:rPr>
          <w:b/>
          <w:bCs/>
        </w:rPr>
        <w:t xml:space="preserve">Identification</w:t>
      </w:r>
    </w:p>
    <w:p>
      <w:pPr>
        <w:pStyle w:val="Compact"/>
        <w:numPr>
          <w:ilvl w:val="0"/>
          <w:numId w:val="1011"/>
        </w:numPr>
      </w:pPr>
      <w:r>
        <w:t xml:space="preserve">N° CAS : 68891-38-3, 586-62-9</w:t>
      </w:r>
    </w:p>
    <w:p>
      <w:pPr>
        <w:pStyle w:val="Compact"/>
        <w:numPr>
          <w:ilvl w:val="0"/>
          <w:numId w:val="1011"/>
        </w:numPr>
      </w:pPr>
      <w:r>
        <w:t xml:space="preserve">N° EINECS : 500-234-8, 209-578-0</w:t>
      </w:r>
    </w:p>
    <w:p>
      <w:pPr>
        <w:pStyle w:val="FirstParagraph"/>
      </w:pPr>
      <w:r>
        <w:rPr>
          <w:b/>
          <w:bCs/>
        </w:rPr>
        <w:t xml:space="preserve">Concentration</w:t>
      </w:r>
      <w:r>
        <w:t xml:space="preserve"> </w:t>
      </w:r>
      <w:r>
        <w:t xml:space="preserve">:from 1.0 to 5.0</w:t>
      </w:r>
    </w:p>
    <w:p>
      <w:pPr>
        <w:pStyle w:val="BodyText"/>
      </w:pPr>
      <w:r>
        <w:rPr>
          <w:b/>
          <w:bCs/>
        </w:rPr>
        <w:t xml:space="preserve">Dangers</w:t>
      </w:r>
      <w:r>
        <w:t xml:space="preserve"> </w:t>
      </w:r>
      <w:r>
        <w:t xml:space="preserve">:</w:t>
      </w:r>
    </w:p>
    <w:p>
      <w:pPr>
        <w:numPr>
          <w:ilvl w:val="0"/>
          <w:numId w:val="1012"/>
        </w:numPr>
      </w:pPr>
      <w:r>
        <w:t xml:space="preserve">H226</w:t>
      </w:r>
      <w:r>
        <w:t xml:space="preserve"> </w:t>
      </w:r>
      <w:r>
        <w:t xml:space="preserve">Liquide et vapeurs inflammables.</w:t>
      </w:r>
    </w:p>
    <w:p>
      <w:pPr>
        <w:numPr>
          <w:ilvl w:val="0"/>
          <w:numId w:val="1012"/>
        </w:numPr>
      </w:pPr>
      <w:r>
        <w:t xml:space="preserve">H302</w:t>
      </w:r>
      <w:r>
        <w:t xml:space="preserve"> </w:t>
      </w:r>
      <w:r>
        <w:t xml:space="preserve">Nocif en cas d’ingestion.</w:t>
      </w:r>
    </w:p>
    <w:p>
      <w:pPr>
        <w:numPr>
          <w:ilvl w:val="0"/>
          <w:numId w:val="1012"/>
        </w:numPr>
      </w:pPr>
      <w:r>
        <w:t xml:space="preserve">H315</w:t>
      </w:r>
      <w:r>
        <w:t xml:space="preserve"> </w:t>
      </w:r>
      <w:r>
        <w:t xml:space="preserve">Provoque une irritation cutanée.</w:t>
      </w:r>
    </w:p>
    <w:p>
      <w:pPr>
        <w:numPr>
          <w:ilvl w:val="0"/>
          <w:numId w:val="1012"/>
        </w:numPr>
      </w:pPr>
      <w:r>
        <w:t xml:space="preserve">H319</w:t>
      </w:r>
      <w:r>
        <w:t xml:space="preserve"> </w:t>
      </w:r>
      <w:r>
        <w:t xml:space="preserve">Provoque une sévère irritation des yeux.</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7" w:name="propriétés-3"/>
    <w:p>
      <w:pPr>
        <w:pStyle w:val="Heading4"/>
      </w:pPr>
      <w:r>
        <w:t xml:space="preserve">Propriétés</w:t>
      </w:r>
    </w:p>
    <w:p>
      <w:pPr>
        <w:pStyle w:val="FirstParagraph"/>
      </w:pPr>
      <w:r>
        <w:t xml:space="preserve">Pas d’informations disponible.</w:t>
      </w:r>
    </w:p>
    <w:bookmarkEnd w:id="47"/>
    <w:bookmarkEnd w:id="48"/>
    <w:bookmarkEnd w:id="49"/>
    <w:bookmarkStart w:id="50"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oculaire / faciale Référence aux normes EN 166 (protection des yeux et du visage). Le texte ne précise pas le type exact de lunettes ou écran facial (ex. lunettes de sécurité, visière, masque facial), ni le matériau ou l’épaisseur.</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Protection respiratoire Référence aux normes EN 143 et EN 14387 (masques respiratoires, filtres). Le document ne précise pas le type de masque (ex. masque à cartouche, respirateur à haute efficacité), ni le type de filtre ou la classe de protection.</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Mention de « Protection corporelle (EN 14605) » et de « Protection des mains (EN 374) ».</w:t>
            </w:r>
          </w:p>
        </w:tc>
      </w:tr>
    </w:tbl>
    <w:bookmarkEnd w:id="50"/>
    <w:bookmarkStart w:id="51"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Revêtir un équipement de protection individuelle approprié (voir Section 8). - Ne pas ingérer. - Éviter le contact avec les yeux, la peau et les vêtements. - Éviter de respirer les vapeurs ou le brouillard. - Garder le produit dans le conteneur d’origine ou dans un autre conteneur de substitution homologué fabriqué à partir d’un matériau compatible et tenu hermétiquement clos lorsqu’il n’est pas utilisé. - Les conteneurs vides retiennent des résidus de produit et peuvent présenter un danger ; ne pas les réutiliser.</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Ne pas stocker en dessous de -5 °C (23 °F). - Stocker conformément à la réglementation locale. - Stocker dans le récipient d’origine à l’abri de la lumière directe du soleil, dans un endroit sec, frais et bien ventilé, à l’écart des matériaux incompatibles (cf. section 10). - Garder le récipient hermétiquement fermé lorsqu’il n’est pas utilisé. - Les récipients ayant été ouverts doivent être refermés avec soin et maintenus en position verticale afin d’éviter les fuites. - Ne pas stocker dans des conteneurs non étiquetés. - Utiliser un récipient approprié pour éviter toute contamination du milieu ambiant.</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Détergent pour l’entretien toutes surfaces, produit uniquement pour usage professionnel.</w:t>
            </w:r>
          </w:p>
        </w:tc>
      </w:tr>
    </w:tbl>
    <w:bookmarkEnd w:id="51"/>
    <w:bookmarkEnd w:id="52"/>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23" Type="http://schemas.openxmlformats.org/officeDocument/2006/relationships/image" Target="media/rId23.png"/><Relationship Id="rId20" Type="http://schemas.openxmlformats.org/officeDocument/2006/relationships/image" Target="media/rId20.png"/><Relationship Id="rId34" Type="http://schemas.openxmlformats.org/officeDocument/2006/relationships/hyperlink" Target="https://www.inrs.fr/publications/bdd/fichetox/fiche.html?refINRS=FICHETOX_76" TargetMode="External"/><Relationship Id="rId37" Type="http://schemas.openxmlformats.org/officeDocument/2006/relationships/hyperlink" Target="https://www.inrs.fr/publications/bdd/fichetox/fiche.html?refINRS=FICHETOX_76&amp;section=VLEPMesurage" TargetMode="External"/><Relationship Id="rId42" Type="http://schemas.openxmlformats.org/officeDocument/2006/relationships/hyperlink" Target="https://www.inrs.fr/publications/bdd/fichetox/fiche.html?refINRS=FICHETOX_76&amp;section=bibliographieAuteurs" TargetMode="External"/><Relationship Id="rId36" Type="http://schemas.openxmlformats.org/officeDocument/2006/relationships/hyperlink" Target="https://www.inrs.fr/publications/bdd/fichetox/fiche.html?refINRS=FICHETOX_76&amp;section=caracteristiques" TargetMode="External"/><Relationship Id="rId35" Type="http://schemas.openxmlformats.org/officeDocument/2006/relationships/hyperlink" Target="https://www.inrs.fr/publications/bdd/fichetox/fiche.html?refINRS=FICHETOX_76&amp;section=generalites" TargetMode="External"/><Relationship Id="rId38" Type="http://schemas.openxmlformats.org/officeDocument/2006/relationships/hyperlink" Target="https://www.inrs.fr/publications/bdd/fichetox/fiche.html?refINRS=FICHETOX_76&amp;section=incendieExplosion" TargetMode="External"/><Relationship Id="rId39" Type="http://schemas.openxmlformats.org/officeDocument/2006/relationships/hyperlink" Target="https://www.inrs.fr/publications/bdd/fichetox/fiche.html?refINRS=FICHETOX_76&amp;section=pathologieToxicologie" TargetMode="External"/><Relationship Id="rId41" Type="http://schemas.openxmlformats.org/officeDocument/2006/relationships/hyperlink" Target="https://www.inrs.fr/publications/bdd/fichetox/fiche.html?refINRS=FICHETOX_76&amp;section=recommandations" TargetMode="External"/><Relationship Id="rId40" Type="http://schemas.openxmlformats.org/officeDocument/2006/relationships/hyperlink" Target="https://www.inrs.fr/publications/bdd/fichetox/fiche.html?refINRS=FICHETOX_76&amp;section=reglementation" TargetMode="External"/></Relationships>
</file>

<file path=word/_rels/footnotes.xml.rels><?xml version='1.0' encoding='UTF-8' standalone='yes'?>
<Relationships xmlns="http://schemas.openxmlformats.org/package/2006/relationships"><Relationship Id="rId34" Type="http://schemas.openxmlformats.org/officeDocument/2006/relationships/hyperlink" Target="https://www.inrs.fr/publications/bdd/fichetox/fiche.html?refINRS=FICHETOX_76" TargetMode="External"/><Relationship Id="rId37" Type="http://schemas.openxmlformats.org/officeDocument/2006/relationships/hyperlink" Target="https://www.inrs.fr/publications/bdd/fichetox/fiche.html?refINRS=FICHETOX_76&amp;section=VLEPMesurage" TargetMode="External"/><Relationship Id="rId42" Type="http://schemas.openxmlformats.org/officeDocument/2006/relationships/hyperlink" Target="https://www.inrs.fr/publications/bdd/fichetox/fiche.html?refINRS=FICHETOX_76&amp;section=bibliographieAuteurs" TargetMode="External"/><Relationship Id="rId36" Type="http://schemas.openxmlformats.org/officeDocument/2006/relationships/hyperlink" Target="https://www.inrs.fr/publications/bdd/fichetox/fiche.html?refINRS=FICHETOX_76&amp;section=caracteristiques" TargetMode="External"/><Relationship Id="rId35" Type="http://schemas.openxmlformats.org/officeDocument/2006/relationships/hyperlink" Target="https://www.inrs.fr/publications/bdd/fichetox/fiche.html?refINRS=FICHETOX_76&amp;section=generalites" TargetMode="External"/><Relationship Id="rId38" Type="http://schemas.openxmlformats.org/officeDocument/2006/relationships/hyperlink" Target="https://www.inrs.fr/publications/bdd/fichetox/fiche.html?refINRS=FICHETOX_76&amp;section=incendieExplosion" TargetMode="External"/><Relationship Id="rId39" Type="http://schemas.openxmlformats.org/officeDocument/2006/relationships/hyperlink" Target="https://www.inrs.fr/publications/bdd/fichetox/fiche.html?refINRS=FICHETOX_76&amp;section=pathologieToxicologie" TargetMode="External"/><Relationship Id="rId41" Type="http://schemas.openxmlformats.org/officeDocument/2006/relationships/hyperlink" Target="https://www.inrs.fr/publications/bdd/fichetox/fiche.html?refINRS=FICHETOX_76&amp;section=recommandations" TargetMode="External"/><Relationship Id="rId40" Type="http://schemas.openxmlformats.org/officeDocument/2006/relationships/hyperlink" Target="https://www.inrs.fr/publications/bdd/fichetox/fiche.html?refINRS=FICHETOX_7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2026-04-02T02:18:05Z</dcterms:created>
  <dcterms:modified xsi:type="dcterms:W3CDTF">2026-04-02T02:18:05Z</dcterms:modified>
</cp:coreProperties>
</file>

<file path=docProps/custom.xml><?xml version="1.0" encoding="utf-8"?>
<Properties xmlns="http://schemas.openxmlformats.org/officeDocument/2006/custom-properties" xmlns:vt="http://schemas.openxmlformats.org/officeDocument/2006/docPropsVTypes"/>
</file>