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estesolhairbody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Deb- STOKO Europe GmbH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estesolhairbody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5" w:name="analyse-des-dangers-estesolhairbody"/>
    <w:p>
      <w:pPr>
        <w:pStyle w:val="Heading1"/>
      </w:pPr>
      <w:r>
        <w:t xml:space="preserve">Analyse des dangers : estesolhairbody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estesolhairbody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Deb- STOKO Europe GmbH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6.2-7.2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Pour le lavage du corps et des cheveux.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2015-12-11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2015-12-11. Elle a donc 10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-</w:t>
      </w:r>
    </w:p>
    <w:p>
      <w:pPr>
        <w:pStyle w:val="Compact"/>
        <w:numPr>
          <w:ilvl w:val="0"/>
          <w:numId w:val="1003"/>
        </w:numPr>
      </w:pPr>
      <w:r>
        <w:t xml:space="preserve">RID : -</w:t>
      </w:r>
    </w:p>
    <w:p>
      <w:pPr>
        <w:pStyle w:val="Compact"/>
        <w:numPr>
          <w:ilvl w:val="0"/>
          <w:numId w:val="1003"/>
        </w:numPr>
      </w:pPr>
      <w:r>
        <w:t xml:space="preserve">ADN : -</w:t>
      </w:r>
    </w:p>
    <w:p>
      <w:pPr>
        <w:pStyle w:val="Compact"/>
        <w:numPr>
          <w:ilvl w:val="0"/>
          <w:numId w:val="1003"/>
        </w:numPr>
      </w:pPr>
      <w:r>
        <w:t xml:space="preserve">IMDG : -</w:t>
      </w:r>
    </w:p>
    <w:p>
      <w:pPr>
        <w:pStyle w:val="Compact"/>
        <w:numPr>
          <w:ilvl w:val="0"/>
          <w:numId w:val="1003"/>
        </w:numPr>
      </w:pPr>
      <w:r>
        <w:t xml:space="preserve">IATA : -</w:t>
      </w:r>
    </w:p>
    <w:p>
      <w:pPr>
        <w:pStyle w:val="Compact"/>
        <w:numPr>
          <w:ilvl w:val="0"/>
          <w:numId w:val="1003"/>
        </w:numPr>
      </w:pPr>
      <w:r>
        <w:t xml:space="preserve">UN : -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- Non pertinent.</w:t>
      </w:r>
    </w:p>
    <w:p>
      <w:pPr>
        <w:pStyle w:val="BodyText"/>
      </w:pPr>
      <w:r>
        <w:t xml:space="preserve">eyes : 1. Retirer les lentilles de contact.</w:t>
      </w:r>
      <w:r>
        <w:t xml:space="preserve"> </w:t>
      </w:r>
      <w:r>
        <w:t xml:space="preserve">2. Ouvrir largement les paupières.</w:t>
      </w:r>
      <w:r>
        <w:t xml:space="preserve"> </w:t>
      </w:r>
      <w:r>
        <w:t xml:space="preserve">3. Continuer de rincer pendant au moins 15 minutes.</w:t>
      </w:r>
      <w:r>
        <w:t xml:space="preserve"> </w:t>
      </w:r>
      <w:r>
        <w:t xml:space="preserve">4. Consulter un médecin rapidement si des symptômes apparaissent après le lavage.</w:t>
      </w:r>
    </w:p>
    <w:p>
      <w:pPr>
        <w:pStyle w:val="BodyText"/>
      </w:pPr>
      <w:r>
        <w:t xml:space="preserve">ingestion : 1. Rincer soigneusement la bouche à l’eau.</w:t>
      </w:r>
      <w:r>
        <w:t xml:space="preserve"> </w:t>
      </w:r>
      <w:r>
        <w:t xml:space="preserve">2. Consulter un médecin si une gêne persiste.</w:t>
      </w:r>
    </w:p>
    <w:p>
      <w:pPr>
        <w:pStyle w:val="BodyText"/>
      </w:pPr>
      <w:r>
        <w:t xml:space="preserve">inhalation : - Non pertinent. L’exposition est peu probable car le produit ne contient pas de substances volatiles.</w:t>
      </w:r>
    </w:p>
    <w:p>
      <w:r>
        <w:br w:type="page"/>
      </w:r>
    </w:p>
    <w:bookmarkEnd w:id="31"/>
    <w:bookmarkStart w:id="32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End w:id="32"/>
    <w:bookmarkStart w:id="33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</w:tbl>
    <w:bookmarkEnd w:id="33"/>
    <w:bookmarkStart w:id="34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Éviter le contact avec les yeux.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de stockage sûr: - Le produit est stable à température ambiante normale. - Il n’existe aucune incompatibilité connue : aucun produit ou groupe de produits spécifique ne réagit avec ce produit pour provoquer une situation dangereuse.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Pour le lavage du corps et des cheveux.</w:t>
            </w:r>
          </w:p>
        </w:tc>
      </w:tr>
    </w:tbl>
    <w:bookmarkEnd w:id="34"/>
    <w:bookmarkEnd w:id="35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2026-04-02T02:37:44Z</dcterms:created>
  <dcterms:modified xsi:type="dcterms:W3CDTF">2026-04-02T02:37:44Z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