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p>
      <w:r>
        <w:br w:type="page"/>
      </w:r>
    </w:p>
    <w:tbl>
      <w:tblPr>
        <w:tblStyle w:val="TableGrid"/>
        <w:tblW w:type="pct" w:w="5000"/>
        <w:jc w:val="left"/>
        <w:tblLayout w:type="autofit"/>
        <w:tblLook w:firstRow="1" w:lastRow="0" w:firstColumn="0" w:lastColumn="0" w:noHBand="0" w:noVBand="1" w:val="000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960"/>
        <w:gridCol w:w="3960"/>
      </w:tblGrid>
      <w:tr>
        <w:tc>
          <w:tcPr/>
          <w:p>
            <w:pPr>
              <w:pStyle w:val="Compact"/>
              <w:rPr>
                <w:sz w:val="20"/>
                <w:szCs w:val="20"/>
              </w:rPr>
            </w:pPr>
            <w:r>
              <w:rPr>
                <w:sz w:val="20"/>
                <w:szCs w:val="20"/>
              </w:rPr>
              <w:t xml:space="preserve">Tilte</w:t>
            </w:r>
          </w:p>
        </w:tc>
        <w:tc>
          <w:tcPr/>
          <w:p>
            <w:pPr>
              <w:pStyle w:val="Compact"/>
              <w:rPr>
                <w:sz w:val="20"/>
                <w:szCs w:val="20"/>
              </w:rPr>
            </w:pPr>
            <w:r>
              <w:rPr>
                <w:sz w:val="20"/>
                <w:szCs w:val="20"/>
              </w:rPr>
              <w:t xml:space="preserve">EmilIA – Analyse des dangers du produit etalonredox-500mltamponredoxhain</w:t>
            </w:r>
          </w:p>
        </w:tc>
      </w:tr>
      <w:tr>
        <w:tc>
          <w:tcPr/>
          <w:p>
            <w:pPr>
              <w:pStyle w:val="Compact"/>
              <w:rPr>
                <w:sz w:val="20"/>
                <w:szCs w:val="20"/>
              </w:rPr>
            </w:pPr>
            <w:r>
              <w:rPr>
                <w:sz w:val="20"/>
                <w:szCs w:val="20"/>
              </w:rPr>
              <w:t xml:space="preserve">Company</w:t>
            </w:r>
          </w:p>
        </w:tc>
        <w:tc>
          <w:tcPr/>
          <w:p>
            <w:pPr>
              <w:pStyle w:val="Compact"/>
              <w:rPr>
                <w:sz w:val="20"/>
                <w:szCs w:val="20"/>
              </w:rPr>
            </w:pPr>
            <w:r>
              <w:rPr>
                <w:sz w:val="20"/>
                <w:szCs w:val="20"/>
              </w:rPr>
              <w:t xml:space="preserve">Sigma‑Aldrich BVBA/SPRL</w:t>
            </w:r>
          </w:p>
        </w:tc>
      </w:tr>
      <w:tr>
        <w:tc>
          <w:tcPr/>
          <w:p>
            <w:pPr>
              <w:pStyle w:val="Compact"/>
              <w:rPr>
                <w:sz w:val="20"/>
                <w:szCs w:val="20"/>
              </w:rPr>
            </w:pPr>
            <w:r>
              <w:rPr>
                <w:sz w:val="20"/>
                <w:szCs w:val="20"/>
              </w:rPr>
              <w:t xml:space="preserve">Date</w:t>
            </w:r>
          </w:p>
        </w:tc>
        <w:tc>
          <w:tcPr/>
          <w:p>
            <w:pPr>
              <w:pStyle w:val="Compact"/>
              <w:rPr>
                <w:sz w:val="20"/>
                <w:szCs w:val="20"/>
              </w:rPr>
            </w:pPr>
            <w:r>
              <w:rPr>
                <w:sz w:val="20"/>
                <w:szCs w:val="20"/>
              </w:rPr>
              <w:t xml:space="preserve">2026-04-02</w:t>
            </w:r>
          </w:p>
        </w:tc>
      </w:tr>
      <w:tr>
        <w:tc>
          <w:tcPr/>
          <w:p>
            <w:pPr>
              <w:pStyle w:val="Compact"/>
              <w:rPr>
                <w:sz w:val="20"/>
                <w:szCs w:val="20"/>
              </w:rPr>
            </w:pPr>
            <w:r>
              <w:rPr>
                <w:sz w:val="20"/>
                <w:szCs w:val="20"/>
              </w:rPr>
              <w:t xml:space="preserve">Version</w:t>
            </w:r>
          </w:p>
        </w:tc>
        <w:tc>
          <w:tcPr/>
          <w:p>
            <w:pPr>
              <w:pStyle w:val="Compact"/>
              <w:rPr>
                <w:sz w:val="20"/>
                <w:szCs w:val="20"/>
              </w:rPr>
            </w:pPr>
            <w:r>
              <w:rPr>
                <w:sz w:val="20"/>
                <w:szCs w:val="20"/>
              </w:rPr>
              <w:t xml:space="preserve">Rev0</w:t>
            </w:r>
          </w:p>
        </w:tc>
      </w:tr>
      <w:tr>
        <w:tc>
          <w:tcPr/>
          <w:p>
            <w:pPr>
              <w:pStyle w:val="Compact"/>
              <w:rPr>
                <w:sz w:val="20"/>
                <w:szCs w:val="20"/>
              </w:rPr>
            </w:pPr>
            <w:r>
              <w:rPr>
                <w:sz w:val="20"/>
                <w:szCs w:val="20"/>
              </w:rPr>
              <w:t xml:space="preserve">Auteur</w:t>
            </w:r>
          </w:p>
        </w:tc>
        <w:tc>
          <w:tcPr/>
          <w:p>
            <w:pPr>
              <w:pStyle w:val="Compact"/>
              <w:rPr>
                <w:sz w:val="20"/>
                <w:szCs w:val="20"/>
              </w:rPr>
            </w:pPr>
            <w:r>
              <w:rPr>
                <w:sz w:val="20"/>
                <w:szCs w:val="20"/>
              </w:rPr>
              <w:t xml:space="preserve">Emilia 0.6.0</w:t>
            </w:r>
          </w:p>
        </w:tc>
      </w:tr>
      <w:tr>
        <w:tc>
          <w:tcPr/>
          <w:p>
            <w:pPr>
              <w:pStyle w:val="Compact"/>
              <w:rPr>
                <w:sz w:val="20"/>
                <w:szCs w:val="20"/>
              </w:rPr>
            </w:pPr>
          </w:p>
        </w:tc>
        <w:tc>
          <w:tcPr/>
          <w:p>
            <w:pPr>
              <w:pStyle w:val="Compact"/>
              <w:rPr>
                <w:sz w:val="20"/>
                <w:szCs w:val="20"/>
              </w:rPr>
            </w:pPr>
          </w:p>
        </w:tc>
      </w:tr>
      <w:tr>
        <w:tc>
          <w:tcPr/>
          <w:p>
            <w:pPr>
              <w:pStyle w:val="Compact"/>
              <w:rPr>
                <w:sz w:val="20"/>
                <w:szCs w:val="20"/>
              </w:rPr>
            </w:pPr>
            <w:r>
              <w:rPr>
                <w:sz w:val="20"/>
                <w:szCs w:val="20"/>
              </w:rPr>
              <w:drawing>
                <wp:inline>
                  <wp:extent cx="2159999" cy="592098"/>
                  <wp:effectExtent b="0" l="0" r="0" t="0"/>
                  <wp:docPr descr="Modyva Logo" title="" id="21" name="Picture"/>
                  <a:graphic>
                    <a:graphicData uri="http://schemas.openxmlformats.org/drawingml/2006/picture">
                      <pic:pic>
                        <pic:nvPicPr>
                          <pic:cNvPr descr="templates/modyva.png" id="22" name="Picture"/>
                          <pic:cNvPicPr>
                            <a:picLocks noChangeArrowheads="1" noChangeAspect="1"/>
                          </pic:cNvPicPr>
                        </pic:nvPicPr>
                        <pic:blipFill>
                          <a:blip r:embed="rId20"/>
                          <a:stretch>
                            <a:fillRect/>
                          </a:stretch>
                        </pic:blipFill>
                        <pic:spPr bwMode="auto">
                          <a:xfrm>
                            <a:off x="0" y="0"/>
                            <a:ext cx="2159999" cy="592098"/>
                          </a:xfrm>
                          <a:prstGeom prst="rect">
                            <a:avLst/>
                          </a:prstGeom>
                          <a:noFill/>
                          <a:ln w="9525">
                            <a:noFill/>
                            <a:headEnd/>
                            <a:tailEnd/>
                          </a:ln>
                        </pic:spPr>
                      </pic:pic>
                    </a:graphicData>
                  </a:graphic>
                </wp:inline>
              </w:drawing>
            </w:r>
          </w:p>
        </w:tc>
        <w:tc>
          <w:tcPr/>
          <w:p>
            <w:pPr>
              <w:pStyle w:val="Compact"/>
              <w:rPr>
                <w:sz w:val="20"/>
                <w:szCs w:val="20"/>
              </w:rPr>
            </w:pPr>
            <w:r>
              <w:rPr>
                <w:sz w:val="20"/>
                <w:szCs w:val="20"/>
              </w:rPr>
              <w:drawing>
                <wp:inline>
                  <wp:extent cx="2159999" cy="848259"/>
                  <wp:effectExtent b="0" l="0" r="0" t="0"/>
                  <wp:docPr descr="Cohezio Logo" title="" id="24" name="Picture"/>
                  <a:graphic>
                    <a:graphicData uri="http://schemas.openxmlformats.org/drawingml/2006/picture">
                      <pic:pic>
                        <pic:nvPicPr>
                          <pic:cNvPr descr="templates/cohezio.png" id="25" name="Picture"/>
                          <pic:cNvPicPr>
                            <a:picLocks noChangeArrowheads="1" noChangeAspect="1"/>
                          </pic:cNvPicPr>
                        </pic:nvPicPr>
                        <pic:blipFill>
                          <a:blip r:embed="rId23"/>
                          <a:stretch>
                            <a:fillRect/>
                          </a:stretch>
                        </pic:blipFill>
                        <pic:spPr bwMode="auto">
                          <a:xfrm>
                            <a:off x="0" y="0"/>
                            <a:ext cx="2159999" cy="848259"/>
                          </a:xfrm>
                          <a:prstGeom prst="rect">
                            <a:avLst/>
                          </a:prstGeom>
                          <a:noFill/>
                          <a:ln w="9525">
                            <a:noFill/>
                            <a:headEnd/>
                            <a:tailEnd/>
                          </a:ln>
                        </pic:spPr>
                      </pic:pic>
                    </a:graphicData>
                  </a:graphic>
                </wp:inline>
              </w:drawing>
            </w:r>
          </w:p>
        </w:tc>
      </w:tr>
    </w:tbl>
    <w:p>
      <w:r>
        <w:br w:type="page"/>
      </w:r>
    </w:p>
    <w:bookmarkStart w:id="26" w:name="introduction"/>
    <w:p>
      <w:pPr>
        <w:pStyle w:val="Heading1"/>
      </w:pPr>
      <w:r>
        <w:t xml:space="preserve">Introduction</w:t>
      </w:r>
    </w:p>
    <w:p>
      <w:pPr>
        <w:pStyle w:val="FirstParagraph"/>
      </w:pPr>
      <w:r>
        <w:t xml:space="preserve">Le présent rapport analyse les dangers intrinsèques du produit</w:t>
      </w:r>
      <w:r>
        <w:t xml:space="preserve"> </w:t>
      </w:r>
      <w:r>
        <w:rPr>
          <w:b/>
          <w:bCs/>
        </w:rPr>
        <w:t xml:space="preserve">etalonredox-500mltamponredoxhain</w:t>
      </w:r>
      <w:r>
        <w:t xml:space="preserve">.</w:t>
      </w:r>
    </w:p>
    <w:p>
      <w:pPr>
        <w:pStyle w:val="BodyText"/>
      </w:pPr>
      <w:r>
        <w:t xml:space="preserve">L’analyse vise à répondre aux questions suivantes :</w:t>
      </w:r>
    </w:p>
    <w:p>
      <w:pPr>
        <w:pStyle w:val="Compact"/>
        <w:numPr>
          <w:ilvl w:val="0"/>
          <w:numId w:val="1001"/>
        </w:numPr>
      </w:pPr>
      <w:r>
        <w:t xml:space="preserve">Quels sont les dangers associés au produit et à ses substances ?</w:t>
      </w:r>
    </w:p>
    <w:p>
      <w:pPr>
        <w:pStyle w:val="Compact"/>
        <w:numPr>
          <w:ilvl w:val="0"/>
          <w:numId w:val="1001"/>
        </w:numPr>
      </w:pPr>
      <w:r>
        <w:t xml:space="preserve">Les substances présentes sont-elles soumises à des valeurs limites d’exposition ou à des classifications particulières (CMR, SEVESO, …) ?</w:t>
      </w:r>
    </w:p>
    <w:p>
      <w:pPr>
        <w:pStyle w:val="Compact"/>
        <w:numPr>
          <w:ilvl w:val="0"/>
          <w:numId w:val="1001"/>
        </w:numPr>
      </w:pPr>
      <w:r>
        <w:t xml:space="preserve">Quels sont les dangers pour la santé connus pour ces différentes substances ?</w:t>
      </w:r>
    </w:p>
    <w:p>
      <w:pPr>
        <w:pStyle w:val="Compact"/>
        <w:numPr>
          <w:ilvl w:val="0"/>
          <w:numId w:val="1001"/>
        </w:numPr>
      </w:pPr>
      <w:r>
        <w:t xml:space="preserve">Est-ce que la FDS reçue présente potentiellement des erreurs (obsolescence, changements dans les classifications de l’ECHA, …) ?</w:t>
      </w:r>
    </w:p>
    <w:p>
      <w:pPr>
        <w:pStyle w:val="Compact"/>
        <w:numPr>
          <w:ilvl w:val="0"/>
          <w:numId w:val="1001"/>
        </w:numPr>
      </w:pPr>
      <w:r>
        <w:t xml:space="preserve">Quelles mesures de prévention doivent être envisagées lors de l’utilisation de ce produit ?</w:t>
      </w:r>
    </w:p>
    <w:p>
      <w:pPr>
        <w:pStyle w:val="FirstParagraph"/>
      </w:pPr>
      <w:r>
        <w:t xml:space="preserve">La fiche de données de sécurité (FDS) a été traitée à l’aide de l’outil d’intelligence artificielle</w:t>
      </w:r>
      <w:r>
        <w:t xml:space="preserve"> </w:t>
      </w:r>
      <w:r>
        <w:rPr>
          <w:b/>
          <w:bCs/>
        </w:rPr>
        <w:t xml:space="preserve">EmilIA</w:t>
      </w:r>
      <w:r>
        <w:t xml:space="preserve"> </w:t>
      </w:r>
      <w:r>
        <w:t xml:space="preserve">développé par</w:t>
      </w:r>
      <w:r>
        <w:t xml:space="preserve"> </w:t>
      </w:r>
      <w:r>
        <w:rPr>
          <w:b/>
          <w:bCs/>
        </w:rPr>
        <w:t xml:space="preserve">Modyva</w:t>
      </w:r>
      <w:r>
        <w:t xml:space="preserve">. Les résultats ont été revus et contrôlés par Modyva.</w:t>
      </w:r>
      <w:r>
        <w:br/>
      </w:r>
      <w:r>
        <w:t xml:space="preserve">L’analyse se limite à une analyse des dangers. L’exposition au risque basée sur les conditions réelles d’utilisation in-situ n’a pas été évaluée.</w:t>
      </w:r>
    </w:p>
    <w:p>
      <w:pPr>
        <w:pStyle w:val="BodyText"/>
      </w:pPr>
      <w:r>
        <w:t xml:space="preserve">Cette étude est basée sur les prescriptions et recommandations suivantes :</w:t>
      </w:r>
    </w:p>
    <w:p>
      <w:pPr>
        <w:pStyle w:val="Compact"/>
        <w:numPr>
          <w:ilvl w:val="0"/>
          <w:numId w:val="1002"/>
        </w:numPr>
      </w:pPr>
      <w:r>
        <w:t xml:space="preserve">LIVRE VI — Agents chimiques, cancérigènes, mutagènes et reprotoxiques</w:t>
      </w:r>
    </w:p>
    <w:p>
      <w:pPr>
        <w:pStyle w:val="Compact"/>
        <w:numPr>
          <w:ilvl w:val="0"/>
          <w:numId w:val="1002"/>
        </w:numPr>
      </w:pPr>
      <w:r>
        <w:t xml:space="preserve">Fiches toxicologiques de l’INRS</w:t>
      </w:r>
    </w:p>
    <w:p>
      <w:pPr>
        <w:pStyle w:val="Compact"/>
        <w:numPr>
          <w:ilvl w:val="0"/>
          <w:numId w:val="1002"/>
        </w:numPr>
      </w:pPr>
      <w:r>
        <w:t xml:space="preserve">Directive 2012/18/UE (SEVESO)</w:t>
      </w:r>
    </w:p>
    <w:p>
      <w:pPr>
        <w:pStyle w:val="Compact"/>
        <w:numPr>
          <w:ilvl w:val="0"/>
          <w:numId w:val="1002"/>
        </w:numPr>
      </w:pPr>
      <w:r>
        <w:t xml:space="preserve">Règlement (CE) 1272/2008 (CLP)</w:t>
      </w:r>
    </w:p>
    <w:p>
      <w:pPr>
        <w:pStyle w:val="Compact"/>
        <w:numPr>
          <w:ilvl w:val="0"/>
          <w:numId w:val="1002"/>
        </w:numPr>
      </w:pPr>
      <w:r>
        <w:t xml:space="preserve">Règlement (CE) 1907/2006 (REACH) — Annexe XVII / Annexe XIV</w:t>
      </w:r>
    </w:p>
    <w:p>
      <w:pPr>
        <w:pStyle w:val="Compact"/>
        <w:numPr>
          <w:ilvl w:val="0"/>
          <w:numId w:val="1002"/>
        </w:numPr>
      </w:pPr>
      <w:r>
        <w:t xml:space="preserve">Règlement (UE) 2019/1021 (POP)</w:t>
      </w:r>
    </w:p>
    <w:p>
      <w:pPr>
        <w:pStyle w:val="Compact"/>
        <w:numPr>
          <w:ilvl w:val="0"/>
          <w:numId w:val="1002"/>
        </w:numPr>
      </w:pPr>
      <w:r>
        <w:t xml:space="preserve">Règlement (UE) 528/2012 (Biocides)</w:t>
      </w:r>
    </w:p>
    <w:p>
      <w:r>
        <w:br w:type="page"/>
      </w:r>
    </w:p>
    <w:bookmarkEnd w:id="26"/>
    <w:bookmarkStart w:id="73" w:name="X6dc9cb9931963bf7eb274dcbe2a962236bd25d2"/>
    <w:p>
      <w:pPr>
        <w:pStyle w:val="Heading1"/>
      </w:pPr>
      <w:r>
        <w:t xml:space="preserve">Analyse des dangers : etalonredox-500mltamponredoxhain</w:t>
      </w:r>
    </w:p>
    <w:p>
      <w:pPr>
        <w:pStyle w:val="FirstParagraph"/>
      </w:pPr>
      <w:r>
        <w:t xml:space="preserve">Dans la suite, nous détaillons les dangers associés au produit</w:t>
      </w:r>
      <w:r>
        <w:t xml:space="preserve"> </w:t>
      </w:r>
      <w:r>
        <w:rPr>
          <w:b/>
          <w:bCs/>
        </w:rPr>
        <w:t xml:space="preserve">etalonredox-500mltamponredoxhain</w:t>
      </w:r>
      <w:r>
        <w:t xml:space="preserve">, les éléments potentiellement erronés ou obsolètes relevés dans la FDS, les classifications des différentes substances présentes et les protections individuelles à envisager.</w:t>
      </w:r>
    </w:p>
    <w:bookmarkStart w:id="27" w:name="X8dba009bd9247913838556218799ec0ac58d74c"/>
    <w:p>
      <w:pPr>
        <w:pStyle w:val="Heading2"/>
      </w:pPr>
      <w:r>
        <w:t xml:space="preserve">Remarques préalables relatives au contenu de la FDS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582"/>
        <w:gridCol w:w="4337"/>
      </w:tblGrid>
      <w:tr>
        <w:trPr>
          <w:tblHeader w:val="on"/>
        </w:trPr>
        <w:tc>
          <w:tcPr/>
          <w:p>
            <w:pPr>
              <w:pStyle w:val="Compact"/>
              <w:rPr>
                <w:sz w:val="20"/>
                <w:szCs w:val="20"/>
              </w:rPr>
            </w:pPr>
            <w:r>
              <w:rPr>
                <w:sz w:val="20"/>
                <w:szCs w:val="20"/>
              </w:rPr>
              <w:t xml:space="preserve">Propriété</w:t>
            </w:r>
          </w:p>
        </w:tc>
        <w:tc>
          <w:tcPr/>
          <w:p>
            <w:pPr>
              <w:pStyle w:val="Compact"/>
              <w:rPr>
                <w:sz w:val="20"/>
                <w:szCs w:val="20"/>
              </w:rPr>
            </w:pPr>
            <w:r>
              <w:rPr>
                <w:sz w:val="20"/>
                <w:szCs w:val="20"/>
              </w:rPr>
              <w:t xml:space="preserve">Valeur</w:t>
            </w:r>
          </w:p>
        </w:tc>
      </w:tr>
      <w:tr>
        <w:tc>
          <w:tcPr/>
          <w:p>
            <w:pPr>
              <w:pStyle w:val="Compact"/>
              <w:rPr>
                <w:sz w:val="20"/>
                <w:szCs w:val="20"/>
              </w:rPr>
            </w:pPr>
            <w:r>
              <w:rPr>
                <w:sz w:val="20"/>
                <w:szCs w:val="20"/>
              </w:rPr>
              <w:t xml:space="preserve">Fabriqué par</w:t>
            </w:r>
          </w:p>
        </w:tc>
        <w:tc>
          <w:tcPr/>
          <w:p>
            <w:pPr>
              <w:pStyle w:val="Compact"/>
              <w:rPr>
                <w:sz w:val="20"/>
                <w:szCs w:val="20"/>
              </w:rPr>
            </w:pPr>
            <w:r>
              <w:rPr>
                <w:sz w:val="20"/>
                <w:szCs w:val="20"/>
              </w:rPr>
              <w:t xml:space="preserve">Sigma‑Aldrich BVBA/SPRL</w:t>
            </w:r>
          </w:p>
        </w:tc>
      </w:tr>
      <w:tr>
        <w:tc>
          <w:tcPr/>
          <w:p>
            <w:pPr>
              <w:pStyle w:val="Compact"/>
              <w:rPr>
                <w:sz w:val="20"/>
                <w:szCs w:val="20"/>
              </w:rPr>
            </w:pPr>
            <w:r>
              <w:rPr>
                <w:sz w:val="20"/>
                <w:szCs w:val="20"/>
              </w:rPr>
              <w:t xml:space="preserve">État physique</w:t>
            </w:r>
          </w:p>
        </w:tc>
        <w:tc>
          <w:tcPr/>
          <w:p>
            <w:pPr>
              <w:pStyle w:val="Compact"/>
              <w:rPr>
                <w:sz w:val="20"/>
                <w:szCs w:val="20"/>
              </w:rPr>
            </w:pPr>
            <w:r>
              <w:rPr>
                <w:sz w:val="20"/>
                <w:szCs w:val="20"/>
              </w:rPr>
              <w:t xml:space="preserve">liquide</w:t>
            </w:r>
          </w:p>
        </w:tc>
      </w:tr>
      <w:tr>
        <w:tc>
          <w:tcPr/>
          <w:p>
            <w:pPr>
              <w:pStyle w:val="Compact"/>
              <w:rPr>
                <w:sz w:val="20"/>
                <w:szCs w:val="20"/>
              </w:rPr>
            </w:pPr>
            <w:r>
              <w:rPr>
                <w:sz w:val="20"/>
                <w:szCs w:val="20"/>
              </w:rPr>
              <w:t xml:space="preserve">Forme</w:t>
            </w:r>
          </w:p>
        </w:tc>
        <w:tc>
          <w:tcPr/>
          <w:p>
            <w:pPr>
              <w:pStyle w:val="Compact"/>
              <w:rPr>
                <w:sz w:val="20"/>
                <w:szCs w:val="20"/>
              </w:rPr>
            </w:pPr>
            <w:r>
              <w:rPr>
                <w:sz w:val="20"/>
                <w:szCs w:val="20"/>
              </w:rPr>
              <w:t xml:space="preserve">clair, liquide (pas de poudre, grains, granulés, pastilles, pâte, etc.)</w:t>
            </w:r>
          </w:p>
        </w:tc>
      </w:tr>
      <w:tr>
        <w:tc>
          <w:tcPr/>
          <w:p>
            <w:pPr>
              <w:pStyle w:val="Compact"/>
              <w:rPr>
                <w:sz w:val="20"/>
                <w:szCs w:val="20"/>
              </w:rPr>
            </w:pPr>
            <w:r>
              <w:rPr>
                <w:sz w:val="20"/>
                <w:szCs w:val="20"/>
              </w:rPr>
              <w:t xml:space="preserve">pH</w:t>
            </w:r>
          </w:p>
        </w:tc>
        <w:tc>
          <w:tcPr/>
          <w:p>
            <w:pPr>
              <w:pStyle w:val="Compact"/>
              <w:rPr>
                <w:sz w:val="20"/>
                <w:szCs w:val="20"/>
              </w:rPr>
            </w:pPr>
            <w:r>
              <w:rPr>
                <w:sz w:val="20"/>
                <w:szCs w:val="20"/>
              </w:rPr>
              <w:t xml:space="preserve">Non disponible</w:t>
            </w:r>
          </w:p>
        </w:tc>
      </w:tr>
      <w:tr>
        <w:tc>
          <w:tcPr/>
          <w:p>
            <w:pPr>
              <w:pStyle w:val="Compact"/>
              <w:rPr>
                <w:sz w:val="20"/>
                <w:szCs w:val="20"/>
              </w:rPr>
            </w:pPr>
            <w:r>
              <w:rPr>
                <w:sz w:val="20"/>
                <w:szCs w:val="20"/>
              </w:rPr>
              <w:t xml:space="preserve">Usage</w:t>
            </w:r>
          </w:p>
        </w:tc>
        <w:tc>
          <w:tcPr/>
          <w:p>
            <w:pPr>
              <w:pStyle w:val="Compact"/>
              <w:rPr>
                <w:sz w:val="20"/>
                <w:szCs w:val="20"/>
              </w:rPr>
            </w:pPr>
            <w:r>
              <w:rPr>
                <w:sz w:val="20"/>
                <w:szCs w:val="20"/>
              </w:rPr>
              <w:t xml:space="preserve">Utilisations identifiées : substances chimiques de laboratoire, fabrication de substances.</w:t>
            </w:r>
          </w:p>
        </w:tc>
      </w:tr>
      <w:tr>
        <w:tc>
          <w:tcPr/>
          <w:p>
            <w:pPr>
              <w:pStyle w:val="Compact"/>
              <w:rPr>
                <w:sz w:val="20"/>
                <w:szCs w:val="20"/>
              </w:rPr>
            </w:pPr>
            <w:r>
              <w:rPr>
                <w:sz w:val="20"/>
                <w:szCs w:val="20"/>
              </w:rPr>
              <w:t xml:space="preserve">Date FDS</w:t>
            </w:r>
          </w:p>
        </w:tc>
        <w:tc>
          <w:tcPr/>
          <w:p>
            <w:pPr>
              <w:pStyle w:val="Compact"/>
              <w:rPr>
                <w:sz w:val="20"/>
                <w:szCs w:val="20"/>
              </w:rPr>
            </w:pPr>
            <w:r>
              <w:rPr>
                <w:sz w:val="20"/>
                <w:szCs w:val="20"/>
              </w:rPr>
              <w:t xml:space="preserve">2020-06-02</w:t>
            </w:r>
          </w:p>
        </w:tc>
      </w:tr>
    </w:tbl>
    <w:p>
      <w:pPr>
        <w:pStyle w:val="BodyText"/>
      </w:pPr>
      <w:r>
        <w:t xml:space="preserve"> </w:t>
      </w:r>
      <w:r>
        <w:t xml:space="preserve">La FDS date du 2020-06-02. Elle a donc 5 an(s).</w:t>
      </w:r>
    </w:p>
    <w:p>
      <w:pPr>
        <w:pStyle w:val="BodyText"/>
      </w:pPr>
      <w:r>
        <w:t xml:space="preserve">La FDS ayant plus de 5 ans, il est</w:t>
      </w:r>
      <w:r>
        <w:t xml:space="preserve"> </w:t>
      </w:r>
      <w:r>
        <w:rPr>
          <w:i/>
          <w:iCs/>
        </w:rPr>
        <w:t xml:space="preserve">nécessaire</w:t>
      </w:r>
      <w:r>
        <w:t xml:space="preserve"> </w:t>
      </w:r>
      <w:r>
        <w:t xml:space="preserve">de demander au fournisseur de produire une FDS mise à jour.</w:t>
      </w:r>
    </w:p>
    <w:bookmarkEnd w:id="27"/>
    <w:bookmarkStart w:id="29" w:name="erreurs-de-classification"/>
    <w:p>
      <w:pPr>
        <w:pStyle w:val="Heading2"/>
      </w:pPr>
      <w:r>
        <w:t xml:space="preserve">Erreurs de classification</w:t>
      </w:r>
    </w:p>
    <w:bookmarkStart w:id="28" w:name="produit"/>
    <w:p>
      <w:pPr>
        <w:pStyle w:val="Heading3"/>
      </w:pPr>
      <w:r>
        <w:t xml:space="preserve">Produit</w:t>
      </w:r>
    </w:p>
    <w:p>
      <w:pPr>
        <w:pStyle w:val="FirstParagraph"/>
      </w:pPr>
      <w:r>
        <w:t xml:space="preserve">EmilIA a identifié les erreurs de classification potentielles suivantes dans la FDS :</w:t>
      </w:r>
    </w:p>
    <w:p>
      <w:pPr>
        <w:pStyle w:val="Compact"/>
        <w:numPr>
          <w:ilvl w:val="0"/>
          <w:numId w:val="1003"/>
        </w:numPr>
      </w:pPr>
      <w:r>
        <w:t xml:space="preserve">La substance Dichlorure de mercure devrait être classée H300 selon les dernières classifications harmonisées publiées par l’ECHA</w:t>
      </w:r>
      <w:r>
        <w:br/>
      </w:r>
    </w:p>
    <w:p>
      <w:pPr>
        <w:pStyle w:val="Compact"/>
        <w:numPr>
          <w:ilvl w:val="0"/>
          <w:numId w:val="1003"/>
        </w:numPr>
      </w:pPr>
      <w:r>
        <w:t xml:space="preserve">La substance Dichlorure de mercure devrait être classée H314 selon les dernières classifications harmonisées publiées par l’ECHA</w:t>
      </w:r>
      <w:r>
        <w:br/>
      </w:r>
    </w:p>
    <w:p>
      <w:pPr>
        <w:pStyle w:val="Compact"/>
        <w:numPr>
          <w:ilvl w:val="0"/>
          <w:numId w:val="1003"/>
        </w:numPr>
      </w:pPr>
      <w:r>
        <w:t xml:space="preserve">La substance Dichlorure de mercure devrait être classée H341 selon les dernières classifications harmonisées publiées par l’ECHA</w:t>
      </w:r>
      <w:r>
        <w:br/>
      </w:r>
    </w:p>
    <w:p>
      <w:pPr>
        <w:pStyle w:val="Compact"/>
        <w:numPr>
          <w:ilvl w:val="0"/>
          <w:numId w:val="1003"/>
        </w:numPr>
      </w:pPr>
      <w:r>
        <w:t xml:space="preserve">La substance Dichlorure de mercure devrait être classée H361f*** selon les dernières classifications harmonisées publiées par l’ECHA</w:t>
      </w:r>
      <w:r>
        <w:br/>
      </w:r>
    </w:p>
    <w:p>
      <w:pPr>
        <w:pStyle w:val="Compact"/>
        <w:numPr>
          <w:ilvl w:val="0"/>
          <w:numId w:val="1003"/>
        </w:numPr>
      </w:pPr>
      <w:r>
        <w:t xml:space="preserve">La substance Dichlorure de mercure devrait être classée H372** selon les dernières classifications harmonisées publiées par l’ECHA</w:t>
      </w:r>
      <w:r>
        <w:br/>
      </w:r>
    </w:p>
    <w:p>
      <w:pPr>
        <w:pStyle w:val="Compact"/>
        <w:numPr>
          <w:ilvl w:val="0"/>
          <w:numId w:val="1003"/>
        </w:numPr>
      </w:pPr>
      <w:r>
        <w:t xml:space="preserve">La substance Dichlorure de mercure devrait être classée H400 selon les dernières classifications harmonisées publiées par l’ECHA</w:t>
      </w:r>
      <w:r>
        <w:br/>
      </w:r>
    </w:p>
    <w:p>
      <w:pPr>
        <w:pStyle w:val="Compact"/>
        <w:numPr>
          <w:ilvl w:val="0"/>
          <w:numId w:val="1003"/>
        </w:numPr>
      </w:pPr>
      <w:r>
        <w:t xml:space="preserve">La substance Dichlorure de mercure devrait être classée H410 selon les dernières classifications harmonisées publiées par l’ECHA</w:t>
      </w:r>
    </w:p>
    <w:bookmarkEnd w:id="28"/>
    <w:bookmarkEnd w:id="29"/>
    <w:bookmarkStart w:id="42" w:name="X8590ab4bbc4e90345d03c8c67bc0c03dd205453"/>
    <w:p>
      <w:pPr>
        <w:pStyle w:val="Heading2"/>
      </w:pPr>
      <w:r>
        <w:t xml:space="preserve">Dangers, conseils de prudence et classification pour le transport du produit</w:t>
      </w:r>
    </w:p>
    <w:p>
      <w:pPr>
        <w:pStyle w:val="FirstParagraph"/>
      </w:pPr>
      <w:r>
        <w:rPr>
          <w:b/>
          <w:bCs/>
        </w:rPr>
        <w:t xml:space="preserve">Mention d’avertissement</w:t>
      </w:r>
      <w:r>
        <w:t xml:space="preserve"> </w:t>
      </w:r>
      <w:r>
        <w:t xml:space="preserve">:</w:t>
      </w:r>
      <w:r>
        <w:t xml:space="preserve"> </w:t>
      </w:r>
      <w:r>
        <w:t xml:space="preserve">Danger</w:t>
      </w:r>
    </w:p>
    <w:p>
      <w:pPr>
        <w:pStyle w:val="BodyText"/>
      </w:pPr>
      <w:r>
        <w:rPr>
          <w:b/>
          <w:bCs/>
        </w:rPr>
        <w:t xml:space="preserve">Pictogrammes (SGH)</w:t>
      </w:r>
      <w:r>
        <w:t xml:space="preserve"> </w:t>
      </w:r>
      <w:r>
        <w:t xml:space="preserve">:</w:t>
      </w:r>
    </w:p>
    <w:p>
      <w:pPr>
        <w:pStyle w:val="BodyText"/>
      </w:pPr>
      <w:r>
        <w:drawing>
          <wp:inline>
            <wp:extent cx="719999" cy="719999"/>
            <wp:effectExtent b="0" l="0" r="0" t="0"/>
            <wp:docPr descr="Toxicité aiguë" title="" id="31" name="Picture"/>
            <a:graphic>
              <a:graphicData uri="http://schemas.openxmlformats.org/drawingml/2006/picture">
                <pic:pic>
                  <pic:nvPicPr>
                    <pic:cNvPr descr="templates/SGH06.png" id="32" name="Picture"/>
                    <pic:cNvPicPr>
                      <a:picLocks noChangeArrowheads="1" noChangeAspect="1"/>
                    </pic:cNvPicPr>
                  </pic:nvPicPr>
                  <pic:blipFill>
                    <a:blip r:embed="rId30"/>
                    <a:stretch>
                      <a:fillRect/>
                    </a:stretch>
                  </pic:blipFill>
                  <pic:spPr bwMode="auto">
                    <a:xfrm>
                      <a:off x="0" y="0"/>
                      <a:ext cx="719999" cy="719999"/>
                    </a:xfrm>
                    <a:prstGeom prst="rect">
                      <a:avLst/>
                    </a:prstGeom>
                    <a:noFill/>
                    <a:ln w="9525">
                      <a:noFill/>
                      <a:headEnd/>
                      <a:tailEnd/>
                    </a:ln>
                  </pic:spPr>
                </pic:pic>
              </a:graphicData>
            </a:graphic>
          </wp:inline>
        </w:drawing>
      </w:r>
      <w:r>
        <w:t xml:space="preserve">Toxicité aiguë</w:t>
      </w:r>
      <w:r>
        <w:t xml:space="preserve"> </w:t>
      </w:r>
      <w:r>
        <w:drawing>
          <wp:inline>
            <wp:extent cx="719999" cy="719999"/>
            <wp:effectExtent b="0" l="0" r="0" t="0"/>
            <wp:docPr descr="Nocif / Irritant" title="" id="34" name="Picture"/>
            <a:graphic>
              <a:graphicData uri="http://schemas.openxmlformats.org/drawingml/2006/picture">
                <pic:pic>
                  <pic:nvPicPr>
                    <pic:cNvPr descr="templates/SGH07.png" id="35" name="Picture"/>
                    <pic:cNvPicPr>
                      <a:picLocks noChangeArrowheads="1" noChangeAspect="1"/>
                    </pic:cNvPicPr>
                  </pic:nvPicPr>
                  <pic:blipFill>
                    <a:blip r:embed="rId33"/>
                    <a:stretch>
                      <a:fillRect/>
                    </a:stretch>
                  </pic:blipFill>
                  <pic:spPr bwMode="auto">
                    <a:xfrm>
                      <a:off x="0" y="0"/>
                      <a:ext cx="719999" cy="719999"/>
                    </a:xfrm>
                    <a:prstGeom prst="rect">
                      <a:avLst/>
                    </a:prstGeom>
                    <a:noFill/>
                    <a:ln w="9525">
                      <a:noFill/>
                      <a:headEnd/>
                      <a:tailEnd/>
                    </a:ln>
                  </pic:spPr>
                </pic:pic>
              </a:graphicData>
            </a:graphic>
          </wp:inline>
        </w:drawing>
      </w:r>
      <w:r>
        <w:t xml:space="preserve">Nocif / Irritant</w:t>
      </w:r>
      <w:r>
        <w:t xml:space="preserve"> </w:t>
      </w:r>
      <w:r>
        <w:drawing>
          <wp:inline>
            <wp:extent cx="719999" cy="719999"/>
            <wp:effectExtent b="0" l="0" r="0" t="0"/>
            <wp:docPr descr="Grave pour la santé" title="" id="37" name="Picture"/>
            <a:graphic>
              <a:graphicData uri="http://schemas.openxmlformats.org/drawingml/2006/picture">
                <pic:pic>
                  <pic:nvPicPr>
                    <pic:cNvPr descr="templates/SGH08.png" id="38" name="Picture"/>
                    <pic:cNvPicPr>
                      <a:picLocks noChangeArrowheads="1" noChangeAspect="1"/>
                    </pic:cNvPicPr>
                  </pic:nvPicPr>
                  <pic:blipFill>
                    <a:blip r:embed="rId36"/>
                    <a:stretch>
                      <a:fillRect/>
                    </a:stretch>
                  </pic:blipFill>
                  <pic:spPr bwMode="auto">
                    <a:xfrm>
                      <a:off x="0" y="0"/>
                      <a:ext cx="719999" cy="719999"/>
                    </a:xfrm>
                    <a:prstGeom prst="rect">
                      <a:avLst/>
                    </a:prstGeom>
                    <a:noFill/>
                    <a:ln w="9525">
                      <a:noFill/>
                      <a:headEnd/>
                      <a:tailEnd/>
                    </a:ln>
                  </pic:spPr>
                </pic:pic>
              </a:graphicData>
            </a:graphic>
          </wp:inline>
        </w:drawing>
      </w:r>
      <w:r>
        <w:t xml:space="preserve">Grave pour la santé</w:t>
      </w:r>
      <w:r>
        <w:t xml:space="preserve"> </w:t>
      </w:r>
      <w:r>
        <w:drawing>
          <wp:inline>
            <wp:extent cx="719999" cy="719999"/>
            <wp:effectExtent b="0" l="0" r="0" t="0"/>
            <wp:docPr descr="Danger pour l’environnement" title="" id="40" name="Picture"/>
            <a:graphic>
              <a:graphicData uri="http://schemas.openxmlformats.org/drawingml/2006/picture">
                <pic:pic>
                  <pic:nvPicPr>
                    <pic:cNvPr descr="templates/SGH09.png" id="41" name="Picture"/>
                    <pic:cNvPicPr>
                      <a:picLocks noChangeArrowheads="1" noChangeAspect="1"/>
                    </pic:cNvPicPr>
                  </pic:nvPicPr>
                  <pic:blipFill>
                    <a:blip r:embed="rId39"/>
                    <a:stretch>
                      <a:fillRect/>
                    </a:stretch>
                  </pic:blipFill>
                  <pic:spPr bwMode="auto">
                    <a:xfrm>
                      <a:off x="0" y="0"/>
                      <a:ext cx="719999" cy="719999"/>
                    </a:xfrm>
                    <a:prstGeom prst="rect">
                      <a:avLst/>
                    </a:prstGeom>
                    <a:noFill/>
                    <a:ln w="9525">
                      <a:noFill/>
                      <a:headEnd/>
                      <a:tailEnd/>
                    </a:ln>
                  </pic:spPr>
                </pic:pic>
              </a:graphicData>
            </a:graphic>
          </wp:inline>
        </w:drawing>
      </w:r>
      <w:r>
        <w:t xml:space="preserve">Danger pour l’environnement</w:t>
      </w:r>
    </w:p>
    <w:p>
      <w:pPr>
        <w:pStyle w:val="BodyText"/>
      </w:pPr>
      <w:r>
        <w:rPr>
          <w:b/>
          <w:bCs/>
        </w:rPr>
        <w:t xml:space="preserve">Mentions de danger</w:t>
      </w:r>
      <w:r>
        <w:t xml:space="preserve"> </w:t>
      </w:r>
      <w:r>
        <w:t xml:space="preserve">:</w:t>
      </w:r>
    </w:p>
    <w:p>
      <w:pPr>
        <w:numPr>
          <w:ilvl w:val="0"/>
          <w:numId w:val="1004"/>
        </w:numPr>
      </w:pPr>
      <w:r>
        <w:t xml:space="preserve">H301</w:t>
      </w:r>
      <w:r>
        <w:t xml:space="preserve"> </w:t>
      </w:r>
      <w:r>
        <w:t xml:space="preserve">Toxique en cas d’ingestion.</w:t>
      </w:r>
    </w:p>
    <w:p>
      <w:pPr>
        <w:numPr>
          <w:ilvl w:val="0"/>
          <w:numId w:val="1004"/>
        </w:numPr>
      </w:pPr>
      <w:r>
        <w:t xml:space="preserve">H315</w:t>
      </w:r>
      <w:r>
        <w:t xml:space="preserve"> </w:t>
      </w:r>
      <w:r>
        <w:t xml:space="preserve">Provoque une irritation cutanée.</w:t>
      </w:r>
    </w:p>
    <w:p>
      <w:pPr>
        <w:numPr>
          <w:ilvl w:val="0"/>
          <w:numId w:val="1004"/>
        </w:numPr>
      </w:pPr>
      <w:r>
        <w:t xml:space="preserve">H319</w:t>
      </w:r>
      <w:r>
        <w:t xml:space="preserve"> </w:t>
      </w:r>
      <w:r>
        <w:t xml:space="preserve">Provoque une sévère irritation des yeux.</w:t>
      </w:r>
    </w:p>
    <w:p>
      <w:pPr>
        <w:numPr>
          <w:ilvl w:val="0"/>
          <w:numId w:val="1004"/>
        </w:numPr>
      </w:pPr>
      <w:r>
        <w:t xml:space="preserve">H341</w:t>
      </w:r>
      <w:r>
        <w:t xml:space="preserve"> </w:t>
      </w:r>
      <w:r>
        <w:t xml:space="preserve">Susceptible d’induire des anomalies génétiques.</w:t>
      </w:r>
    </w:p>
    <w:p>
      <w:pPr>
        <w:numPr>
          <w:ilvl w:val="0"/>
          <w:numId w:val="1004"/>
        </w:numPr>
      </w:pPr>
      <w:r>
        <w:t xml:space="preserve">H373</w:t>
      </w:r>
      <w:r>
        <w:t xml:space="preserve"> </w:t>
      </w:r>
      <w:r>
        <w:t xml:space="preserve">Risque présumé d’effets graves pour les organes à la suite d’expositions répétées ou d’une exposition prolongée.</w:t>
      </w:r>
    </w:p>
    <w:p>
      <w:pPr>
        <w:numPr>
          <w:ilvl w:val="0"/>
          <w:numId w:val="1004"/>
        </w:numPr>
      </w:pPr>
      <w:r>
        <w:t xml:space="preserve">H400</w:t>
      </w:r>
      <w:r>
        <w:t xml:space="preserve"> </w:t>
      </w:r>
      <w:r>
        <w:t xml:space="preserve">Très toxique pour les organismes aquatiques.</w:t>
      </w:r>
    </w:p>
    <w:p>
      <w:pPr>
        <w:numPr>
          <w:ilvl w:val="0"/>
          <w:numId w:val="1004"/>
        </w:numPr>
      </w:pPr>
      <w:r>
        <w:t xml:space="preserve">H410</w:t>
      </w:r>
      <w:r>
        <w:t xml:space="preserve"> </w:t>
      </w:r>
      <w:r>
        <w:t xml:space="preserve">Très toxique pour les organismes aquatiques, entraîne des effets néfastes à long terme.</w:t>
      </w:r>
    </w:p>
    <w:p>
      <w:pPr>
        <w:pStyle w:val="FirstParagraph"/>
      </w:pPr>
      <w:r>
        <w:rPr>
          <w:b/>
          <w:bCs/>
        </w:rPr>
        <w:t xml:space="preserve">Conseils de prudence</w:t>
      </w:r>
      <w:r>
        <w:t xml:space="preserve"> </w:t>
      </w:r>
      <w:r>
        <w:t xml:space="preserve">:</w:t>
      </w:r>
    </w:p>
    <w:p>
      <w:pPr>
        <w:numPr>
          <w:ilvl w:val="0"/>
          <w:numId w:val="1005"/>
        </w:numPr>
      </w:pPr>
      <w:r>
        <w:t xml:space="preserve">P201</w:t>
      </w:r>
      <w:r>
        <w:t xml:space="preserve"> </w:t>
      </w:r>
      <w:r>
        <w:t xml:space="preserve">Se procurer les instructions avant utilisation.</w:t>
      </w:r>
    </w:p>
    <w:p>
      <w:pPr>
        <w:numPr>
          <w:ilvl w:val="0"/>
          <w:numId w:val="1005"/>
        </w:numPr>
      </w:pPr>
      <w:r>
        <w:t xml:space="preserve">P202</w:t>
      </w:r>
      <w:r>
        <w:t xml:space="preserve"> </w:t>
      </w:r>
      <w:r>
        <w:t xml:space="preserve">Ne pas manipuler avant d’avoir lu et compris toutes les précautions de sécurité.</w:t>
      </w:r>
    </w:p>
    <w:p>
      <w:pPr>
        <w:numPr>
          <w:ilvl w:val="0"/>
          <w:numId w:val="1005"/>
        </w:numPr>
      </w:pPr>
      <w:r>
        <w:t xml:space="preserve">P273</w:t>
      </w:r>
      <w:r>
        <w:t xml:space="preserve"> </w:t>
      </w:r>
      <w:r>
        <w:t xml:space="preserve">Éviter le rejet dans l’environnement.</w:t>
      </w:r>
    </w:p>
    <w:p>
      <w:pPr>
        <w:numPr>
          <w:ilvl w:val="0"/>
          <w:numId w:val="1005"/>
        </w:numPr>
      </w:pPr>
      <w:r>
        <w:t xml:space="preserve">P301+P310</w:t>
      </w:r>
      <w:r>
        <w:t xml:space="preserve"> </w:t>
      </w:r>
      <w:r>
        <w:t xml:space="preserve">EN CAS D’INGESTION:</w:t>
      </w:r>
    </w:p>
    <w:p>
      <w:pPr>
        <w:numPr>
          <w:ilvl w:val="0"/>
          <w:numId w:val="1005"/>
        </w:numPr>
      </w:pPr>
      <w:r>
        <w:t xml:space="preserve">P302+P352</w:t>
      </w:r>
      <w:r>
        <w:t xml:space="preserve"> </w:t>
      </w:r>
      <w:r>
        <w:t xml:space="preserve">EN CAS DE CONTACT AVEC LA PEAU:</w:t>
      </w:r>
    </w:p>
    <w:p>
      <w:pPr>
        <w:numPr>
          <w:ilvl w:val="0"/>
          <w:numId w:val="1005"/>
        </w:numPr>
      </w:pPr>
      <w:r>
        <w:t xml:space="preserve">P305+P351+P338</w:t>
      </w:r>
      <w:r>
        <w:t xml:space="preserve"> </w:t>
      </w:r>
      <w:r>
        <w:t xml:space="preserve">EN CAS DE CONTACT AVEC LES YEUX: rincer avec précaution à l’eau pendant plusieurs minutes. Enlever les lentilles de contact si la victime en porte et si elles peuvent être facilement enlevées. Continuer à rincer.</w:t>
      </w:r>
    </w:p>
    <w:p>
      <w:pPr>
        <w:pStyle w:val="FirstParagraph"/>
      </w:pPr>
      <w:r>
        <w:rPr>
          <w:b/>
          <w:bCs/>
        </w:rPr>
        <w:t xml:space="preserve">Transport</w:t>
      </w:r>
      <w:r>
        <w:t xml:space="preserve"> </w:t>
      </w:r>
      <w:r>
        <w:t xml:space="preserve">:</w:t>
      </w:r>
    </w:p>
    <w:p>
      <w:pPr>
        <w:pStyle w:val="Compact"/>
        <w:numPr>
          <w:ilvl w:val="0"/>
          <w:numId w:val="1006"/>
        </w:numPr>
      </w:pPr>
      <w:r>
        <w:t xml:space="preserve">ADR : 6.1</w:t>
      </w:r>
    </w:p>
    <w:p>
      <w:pPr>
        <w:pStyle w:val="Compact"/>
        <w:numPr>
          <w:ilvl w:val="0"/>
          <w:numId w:val="1006"/>
        </w:numPr>
      </w:pPr>
      <w:r>
        <w:t xml:space="preserve">RID : 6.1</w:t>
      </w:r>
    </w:p>
    <w:p>
      <w:pPr>
        <w:pStyle w:val="Compact"/>
        <w:numPr>
          <w:ilvl w:val="0"/>
          <w:numId w:val="1006"/>
        </w:numPr>
      </w:pPr>
      <w:r>
        <w:t xml:space="preserve">ADN : pas disponible</w:t>
      </w:r>
    </w:p>
    <w:p>
      <w:pPr>
        <w:pStyle w:val="Compact"/>
        <w:numPr>
          <w:ilvl w:val="0"/>
          <w:numId w:val="1006"/>
        </w:numPr>
      </w:pPr>
      <w:r>
        <w:t xml:space="preserve">IMDG : 6.1</w:t>
      </w:r>
    </w:p>
    <w:p>
      <w:pPr>
        <w:pStyle w:val="Compact"/>
        <w:numPr>
          <w:ilvl w:val="0"/>
          <w:numId w:val="1006"/>
        </w:numPr>
      </w:pPr>
      <w:r>
        <w:t xml:space="preserve">IATA : 6.1</w:t>
      </w:r>
    </w:p>
    <w:p>
      <w:pPr>
        <w:pStyle w:val="Compact"/>
        <w:numPr>
          <w:ilvl w:val="0"/>
          <w:numId w:val="1006"/>
        </w:numPr>
      </w:pPr>
      <w:r>
        <w:t xml:space="preserve">UN : 2024</w:t>
      </w:r>
    </w:p>
    <w:bookmarkEnd w:id="42"/>
    <w:bookmarkStart w:id="43" w:name="Xda6f178de632779b007ca26fa4959a763d2c7f4"/>
    <w:p>
      <w:pPr>
        <w:pStyle w:val="Heading2"/>
      </w:pPr>
      <w:r>
        <w:t xml:space="preserve">Dangers et/ou mesures par voie d’exposition</w:t>
      </w:r>
    </w:p>
    <w:p>
      <w:pPr>
        <w:pStyle w:val="FirstParagraph"/>
      </w:pPr>
      <w:r>
        <w:t xml:space="preserve">skin : Laver abondamment à l’eau savonneuse.</w:t>
      </w:r>
      <w:r>
        <w:t xml:space="preserve"> </w:t>
      </w:r>
      <w:r>
        <w:t xml:space="preserve">Transporter immédiatement la victime à l’hôpital.</w:t>
      </w:r>
      <w:r>
        <w:t xml:space="preserve"> </w:t>
      </w:r>
      <w:r>
        <w:t xml:space="preserve">Consulter un médecin.</w:t>
      </w:r>
    </w:p>
    <w:p>
      <w:pPr>
        <w:pStyle w:val="BodyText"/>
      </w:pPr>
      <w:r>
        <w:t xml:space="preserve">eyes : Rincer abondamment à l’eau pendant au moins 15 minutes.</w:t>
      </w:r>
      <w:r>
        <w:t xml:space="preserve"> </w:t>
      </w:r>
      <w:r>
        <w:t xml:space="preserve">Consulter un médecin.</w:t>
      </w:r>
    </w:p>
    <w:p>
      <w:pPr>
        <w:pStyle w:val="BodyText"/>
      </w:pPr>
      <w:r>
        <w:t xml:space="preserve">ingestion : Ne jamais faire avaler quoi‑que‑ce‑soit à une personne inconsciente.</w:t>
      </w:r>
      <w:r>
        <w:t xml:space="preserve"> </w:t>
      </w:r>
      <w:r>
        <w:t xml:space="preserve">Se rincer la bouche à l’eau.</w:t>
      </w:r>
      <w:r>
        <w:t xml:space="preserve"> </w:t>
      </w:r>
      <w:r>
        <w:t xml:space="preserve">Consulter un médecin.</w:t>
      </w:r>
    </w:p>
    <w:p>
      <w:pPr>
        <w:pStyle w:val="BodyText"/>
      </w:pPr>
      <w:r>
        <w:t xml:space="preserve">inhalation : Transporter la personne hors de la zone contaminée.</w:t>
      </w:r>
      <w:r>
        <w:t xml:space="preserve"> </w:t>
      </w:r>
      <w:r>
        <w:t xml:space="preserve">En cas d’arrêt respiratoire, pratiquer la respiration artificielle.</w:t>
      </w:r>
      <w:r>
        <w:t xml:space="preserve"> </w:t>
      </w:r>
      <w:r>
        <w:t xml:space="preserve">Consulter un médecin.</w:t>
      </w:r>
    </w:p>
    <w:p>
      <w:r>
        <w:br w:type="page"/>
      </w:r>
    </w:p>
    <w:bookmarkEnd w:id="43"/>
    <w:bookmarkStart w:id="70" w:name="Xd3fd47f9279b52cc9d4b00e07bdfde0bea6594f"/>
    <w:p>
      <w:pPr>
        <w:pStyle w:val="Heading2"/>
      </w:pPr>
      <w:r>
        <w:t xml:space="preserve">Informations relatives aux substances dangereuses présentes</w:t>
      </w:r>
    </w:p>
    <w:bookmarkStart w:id="54" w:name="tetrapotassium-hexacyanoferrate"/>
    <w:p>
      <w:pPr>
        <w:pStyle w:val="Heading3"/>
      </w:pPr>
      <w:r>
        <w:t xml:space="preserve">Tetrapotassium hexacyanoferrate</w:t>
      </w:r>
    </w:p>
    <w:p>
      <w:pPr>
        <w:pStyle w:val="FirstParagraph"/>
      </w:pPr>
      <w:r>
        <w:rPr>
          <w:b/>
          <w:bCs/>
        </w:rPr>
        <w:t xml:space="preserve">Identification</w:t>
      </w:r>
    </w:p>
    <w:p>
      <w:pPr>
        <w:pStyle w:val="Compact"/>
        <w:numPr>
          <w:ilvl w:val="0"/>
          <w:numId w:val="1007"/>
        </w:numPr>
      </w:pPr>
      <w:r>
        <w:t xml:space="preserve">N° CAS : 14459-95-1</w:t>
      </w:r>
    </w:p>
    <w:p>
      <w:pPr>
        <w:pStyle w:val="Compact"/>
        <w:numPr>
          <w:ilvl w:val="0"/>
          <w:numId w:val="1007"/>
        </w:numPr>
      </w:pPr>
      <w:r>
        <w:t xml:space="preserve">N° EINECS : 237-722-2</w:t>
      </w:r>
    </w:p>
    <w:p>
      <w:pPr>
        <w:pStyle w:val="FirstParagraph"/>
      </w:pPr>
      <w:r>
        <w:rPr>
          <w:b/>
          <w:bCs/>
        </w:rPr>
        <w:t xml:space="preserve">Concentration</w:t>
      </w:r>
      <w:r>
        <w:t xml:space="preserve"> </w:t>
      </w:r>
      <w:r>
        <w:t xml:space="preserve">:from 10.0 to 20.0</w:t>
      </w:r>
    </w:p>
    <w:p>
      <w:pPr>
        <w:pStyle w:val="BodyText"/>
      </w:pPr>
      <w:r>
        <w:rPr>
          <w:b/>
          <w:bCs/>
        </w:rPr>
        <w:t xml:space="preserve">Dangers</w:t>
      </w:r>
      <w:r>
        <w:t xml:space="preserve"> </w:t>
      </w:r>
      <w:r>
        <w:t xml:space="preserve">:</w:t>
      </w:r>
    </w:p>
    <w:p>
      <w:pPr>
        <w:pStyle w:val="Compact"/>
        <w:numPr>
          <w:ilvl w:val="0"/>
          <w:numId w:val="1008"/>
        </w:numPr>
      </w:pPr>
      <w:r>
        <w:t xml:space="preserve">H412</w:t>
      </w:r>
      <w:r>
        <w:t xml:space="preserve"> </w:t>
      </w:r>
      <w:r>
        <w:t xml:space="preserve">Nocif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3" w:name="propriétés"/>
    <w:p>
      <w:pPr>
        <w:pStyle w:val="Heading4"/>
      </w:pPr>
      <w:r>
        <w:t xml:space="preserve">Propriétés</w:t>
      </w:r>
    </w:p>
    <w:p>
      <w:pPr>
        <w:pStyle w:val="FirstParagraph"/>
      </w:pPr>
      <w:hyperlink r:id="rId44">
        <w:r>
          <w:rPr>
            <w:rStyle w:val="Hyperlink"/>
            <w:color w:val="0856A0"/>
            <w:u w:val="single"/>
          </w:rPr>
          <w:t xml:space="preserve">Fiche n°195 - Hexacyanoferrate(3-) et hexacyanoferrate (4-) de potassium</w:t>
        </w:r>
      </w:hyperlink>
    </w:p>
    <w:p>
      <w:pPr>
        <w:numPr>
          <w:ilvl w:val="0"/>
          <w:numId w:val="1009"/>
        </w:numPr>
      </w:pPr>
      <w:hyperlink r:id="rId45">
        <w:r>
          <w:rPr>
            <w:rStyle w:val="Hyperlink"/>
            <w:color w:val="0856A0"/>
            <w:u w:val="single"/>
          </w:rPr>
          <w:t xml:space="preserve">Généralités</w:t>
        </w:r>
      </w:hyperlink>
    </w:p>
    <w:p>
      <w:pPr>
        <w:numPr>
          <w:ilvl w:val="0"/>
          <w:numId w:val="1009"/>
        </w:numPr>
      </w:pPr>
      <w:hyperlink r:id="rId46">
        <w:r>
          <w:rPr>
            <w:rStyle w:val="Hyperlink"/>
            <w:color w:val="0856A0"/>
            <w:u w:val="single"/>
          </w:rPr>
          <w:t xml:space="preserve">Caractéristiques</w:t>
        </w:r>
      </w:hyperlink>
    </w:p>
    <w:p>
      <w:pPr>
        <w:numPr>
          <w:ilvl w:val="0"/>
          <w:numId w:val="1009"/>
        </w:numPr>
      </w:pPr>
      <w:hyperlink r:id="rId47">
        <w:r>
          <w:rPr>
            <w:rStyle w:val="Hyperlink"/>
            <w:color w:val="0856A0"/>
            <w:u w:val="single"/>
          </w:rPr>
          <w:t xml:space="preserve">VLEPMesurage</w:t>
        </w:r>
      </w:hyperlink>
    </w:p>
    <w:p>
      <w:pPr>
        <w:numPr>
          <w:ilvl w:val="0"/>
          <w:numId w:val="1009"/>
        </w:numPr>
      </w:pPr>
      <w:hyperlink r:id="rId48">
        <w:r>
          <w:rPr>
            <w:rStyle w:val="Hyperlink"/>
            <w:color w:val="0856A0"/>
            <w:u w:val="single"/>
          </w:rPr>
          <w:t xml:space="preserve">Incendie - Explosion</w:t>
        </w:r>
      </w:hyperlink>
    </w:p>
    <w:p>
      <w:pPr>
        <w:numPr>
          <w:ilvl w:val="0"/>
          <w:numId w:val="1009"/>
        </w:numPr>
      </w:pPr>
      <w:hyperlink r:id="rId49">
        <w:r>
          <w:rPr>
            <w:rStyle w:val="Hyperlink"/>
            <w:color w:val="0856A0"/>
            <w:u w:val="single"/>
          </w:rPr>
          <w:t xml:space="preserve">Pathologie - Toxicologie</w:t>
        </w:r>
      </w:hyperlink>
    </w:p>
    <w:p>
      <w:pPr>
        <w:numPr>
          <w:ilvl w:val="0"/>
          <w:numId w:val="1009"/>
        </w:numPr>
      </w:pPr>
      <w:hyperlink r:id="rId50">
        <w:r>
          <w:rPr>
            <w:rStyle w:val="Hyperlink"/>
            <w:color w:val="0856A0"/>
            <w:u w:val="single"/>
          </w:rPr>
          <w:t xml:space="preserve">Règlementation</w:t>
        </w:r>
      </w:hyperlink>
    </w:p>
    <w:p>
      <w:pPr>
        <w:numPr>
          <w:ilvl w:val="0"/>
          <w:numId w:val="1009"/>
        </w:numPr>
      </w:pPr>
      <w:hyperlink r:id="rId51">
        <w:r>
          <w:rPr>
            <w:rStyle w:val="Hyperlink"/>
            <w:color w:val="0856A0"/>
            <w:u w:val="single"/>
          </w:rPr>
          <w:t xml:space="preserve">Recommandations</w:t>
        </w:r>
      </w:hyperlink>
    </w:p>
    <w:p>
      <w:pPr>
        <w:numPr>
          <w:ilvl w:val="0"/>
          <w:numId w:val="1009"/>
        </w:numPr>
      </w:pPr>
      <w:hyperlink r:id="rId52">
        <w:r>
          <w:rPr>
            <w:rStyle w:val="Hyperlink"/>
            <w:color w:val="0856A0"/>
            <w:u w:val="single"/>
          </w:rPr>
          <w:t xml:space="preserve">Bibliographie</w:t>
        </w:r>
      </w:hyperlink>
    </w:p>
    <w:bookmarkEnd w:id="53"/>
    <w:bookmarkEnd w:id="54"/>
    <w:bookmarkStart w:id="56" w:name="tripotassium-hexacyanoferrate"/>
    <w:p>
      <w:pPr>
        <w:pStyle w:val="Heading3"/>
      </w:pPr>
      <w:r>
        <w:t xml:space="preserve">Tripotassium hexacyanoferrate</w:t>
      </w:r>
    </w:p>
    <w:p>
      <w:pPr>
        <w:pStyle w:val="FirstParagraph"/>
      </w:pPr>
      <w:r>
        <w:rPr>
          <w:b/>
          <w:bCs/>
        </w:rPr>
        <w:t xml:space="preserve">Identification</w:t>
      </w:r>
    </w:p>
    <w:p>
      <w:pPr>
        <w:pStyle w:val="Compact"/>
        <w:numPr>
          <w:ilvl w:val="0"/>
          <w:numId w:val="1010"/>
        </w:numPr>
      </w:pPr>
      <w:r>
        <w:t xml:space="preserve">N° CAS : 13746-66-2</w:t>
      </w:r>
    </w:p>
    <w:p>
      <w:pPr>
        <w:pStyle w:val="Compact"/>
        <w:numPr>
          <w:ilvl w:val="0"/>
          <w:numId w:val="1010"/>
        </w:numPr>
      </w:pPr>
      <w:r>
        <w:t xml:space="preserve">N° EINECS : 237-323-3</w:t>
      </w:r>
    </w:p>
    <w:p>
      <w:pPr>
        <w:pStyle w:val="FirstParagraph"/>
      </w:pPr>
      <w:r>
        <w:rPr>
          <w:b/>
          <w:bCs/>
        </w:rPr>
        <w:t xml:space="preserve">Concentration</w:t>
      </w:r>
      <w:r>
        <w:t xml:space="preserve"> </w:t>
      </w:r>
      <w:r>
        <w:t xml:space="preserve">:from 2.5 to 10.0</w:t>
      </w:r>
    </w:p>
    <w:p>
      <w:pPr>
        <w:pStyle w:val="BodyText"/>
      </w:pPr>
      <w:r>
        <w:rPr>
          <w:b/>
          <w:bCs/>
        </w:rPr>
        <w:t xml:space="preserve">Dangers</w:t>
      </w:r>
      <w:r>
        <w:t xml:space="preserve"> </w:t>
      </w:r>
      <w:r>
        <w:t xml:space="preserve">:</w:t>
      </w:r>
    </w:p>
    <w:p>
      <w:pPr>
        <w:numPr>
          <w:ilvl w:val="0"/>
          <w:numId w:val="1011"/>
        </w:numPr>
      </w:pPr>
      <w:r>
        <w:t xml:space="preserve">H319</w:t>
      </w:r>
      <w:r>
        <w:t xml:space="preserve"> </w:t>
      </w:r>
      <w:r>
        <w:t xml:space="preserve">Provoque une sévère irritation des yeux.</w:t>
      </w:r>
    </w:p>
    <w:p>
      <w:pPr>
        <w:numPr>
          <w:ilvl w:val="0"/>
          <w:numId w:val="1011"/>
        </w:numPr>
      </w:pPr>
      <w:r>
        <w:t xml:space="preserve">H411</w:t>
      </w:r>
      <w:r>
        <w:t xml:space="preserve"> </w:t>
      </w:r>
      <w:r>
        <w:t xml:space="preserve">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55" w:name="propriétés-1"/>
    <w:p>
      <w:pPr>
        <w:pStyle w:val="Heading4"/>
      </w:pPr>
      <w:r>
        <w:t xml:space="preserve">Propriétés</w:t>
      </w:r>
    </w:p>
    <w:p>
      <w:pPr>
        <w:pStyle w:val="FirstParagraph"/>
      </w:pPr>
      <w:hyperlink r:id="rId44">
        <w:r>
          <w:rPr>
            <w:rStyle w:val="Hyperlink"/>
            <w:color w:val="0856A0"/>
            <w:u w:val="single"/>
          </w:rPr>
          <w:t xml:space="preserve">Fiche n°195 - Hexacyanoferrate(3-) et hexacyanoferrate (4-) de potassium</w:t>
        </w:r>
      </w:hyperlink>
    </w:p>
    <w:p>
      <w:pPr>
        <w:numPr>
          <w:ilvl w:val="0"/>
          <w:numId w:val="1012"/>
        </w:numPr>
      </w:pPr>
      <w:hyperlink r:id="rId45">
        <w:r>
          <w:rPr>
            <w:rStyle w:val="Hyperlink"/>
            <w:color w:val="0856A0"/>
            <w:u w:val="single"/>
          </w:rPr>
          <w:t xml:space="preserve">Généralités</w:t>
        </w:r>
      </w:hyperlink>
    </w:p>
    <w:p>
      <w:pPr>
        <w:numPr>
          <w:ilvl w:val="0"/>
          <w:numId w:val="1012"/>
        </w:numPr>
      </w:pPr>
      <w:hyperlink r:id="rId46">
        <w:r>
          <w:rPr>
            <w:rStyle w:val="Hyperlink"/>
            <w:color w:val="0856A0"/>
            <w:u w:val="single"/>
          </w:rPr>
          <w:t xml:space="preserve">Caractéristiques</w:t>
        </w:r>
      </w:hyperlink>
    </w:p>
    <w:p>
      <w:pPr>
        <w:numPr>
          <w:ilvl w:val="0"/>
          <w:numId w:val="1012"/>
        </w:numPr>
      </w:pPr>
      <w:hyperlink r:id="rId47">
        <w:r>
          <w:rPr>
            <w:rStyle w:val="Hyperlink"/>
            <w:color w:val="0856A0"/>
            <w:u w:val="single"/>
          </w:rPr>
          <w:t xml:space="preserve">VLEPMesurage</w:t>
        </w:r>
      </w:hyperlink>
    </w:p>
    <w:p>
      <w:pPr>
        <w:numPr>
          <w:ilvl w:val="0"/>
          <w:numId w:val="1012"/>
        </w:numPr>
      </w:pPr>
      <w:hyperlink r:id="rId48">
        <w:r>
          <w:rPr>
            <w:rStyle w:val="Hyperlink"/>
            <w:color w:val="0856A0"/>
            <w:u w:val="single"/>
          </w:rPr>
          <w:t xml:space="preserve">Incendie - Explosion</w:t>
        </w:r>
      </w:hyperlink>
    </w:p>
    <w:p>
      <w:pPr>
        <w:numPr>
          <w:ilvl w:val="0"/>
          <w:numId w:val="1012"/>
        </w:numPr>
      </w:pPr>
      <w:hyperlink r:id="rId49">
        <w:r>
          <w:rPr>
            <w:rStyle w:val="Hyperlink"/>
            <w:color w:val="0856A0"/>
            <w:u w:val="single"/>
          </w:rPr>
          <w:t xml:space="preserve">Pathologie - Toxicologie</w:t>
        </w:r>
      </w:hyperlink>
    </w:p>
    <w:p>
      <w:pPr>
        <w:numPr>
          <w:ilvl w:val="0"/>
          <w:numId w:val="1012"/>
        </w:numPr>
      </w:pPr>
      <w:hyperlink r:id="rId50">
        <w:r>
          <w:rPr>
            <w:rStyle w:val="Hyperlink"/>
            <w:color w:val="0856A0"/>
            <w:u w:val="single"/>
          </w:rPr>
          <w:t xml:space="preserve">Règlementation</w:t>
        </w:r>
      </w:hyperlink>
    </w:p>
    <w:p>
      <w:pPr>
        <w:numPr>
          <w:ilvl w:val="0"/>
          <w:numId w:val="1012"/>
        </w:numPr>
      </w:pPr>
      <w:hyperlink r:id="rId51">
        <w:r>
          <w:rPr>
            <w:rStyle w:val="Hyperlink"/>
            <w:color w:val="0856A0"/>
            <w:u w:val="single"/>
          </w:rPr>
          <w:t xml:space="preserve">Recommandations</w:t>
        </w:r>
      </w:hyperlink>
    </w:p>
    <w:p>
      <w:pPr>
        <w:numPr>
          <w:ilvl w:val="0"/>
          <w:numId w:val="1012"/>
        </w:numPr>
      </w:pPr>
      <w:hyperlink r:id="rId52">
        <w:r>
          <w:rPr>
            <w:rStyle w:val="Hyperlink"/>
            <w:color w:val="0856A0"/>
            <w:u w:val="single"/>
          </w:rPr>
          <w:t xml:space="preserve">Bibliographie</w:t>
        </w:r>
      </w:hyperlink>
    </w:p>
    <w:bookmarkEnd w:id="55"/>
    <w:bookmarkEnd w:id="56"/>
    <w:bookmarkStart w:id="67" w:name="dichlorure-de-mercure"/>
    <w:p>
      <w:pPr>
        <w:pStyle w:val="Heading3"/>
      </w:pPr>
      <w:r>
        <w:t xml:space="preserve">Dichlorure de mercure</w:t>
      </w:r>
    </w:p>
    <w:p>
      <w:pPr>
        <w:pStyle w:val="FirstParagraph"/>
      </w:pPr>
      <w:r>
        <w:rPr>
          <w:b/>
          <w:bCs/>
        </w:rPr>
        <w:t xml:space="preserve">Identification</w:t>
      </w:r>
    </w:p>
    <w:p>
      <w:pPr>
        <w:pStyle w:val="Compact"/>
        <w:numPr>
          <w:ilvl w:val="0"/>
          <w:numId w:val="1013"/>
        </w:numPr>
      </w:pPr>
      <w:r>
        <w:t xml:space="preserve">N° CAS : 7487-94-7</w:t>
      </w:r>
    </w:p>
    <w:p>
      <w:pPr>
        <w:pStyle w:val="Compact"/>
        <w:numPr>
          <w:ilvl w:val="0"/>
          <w:numId w:val="1013"/>
        </w:numPr>
      </w:pPr>
      <w:r>
        <w:t xml:space="preserve">N° EINECS : None</w:t>
      </w:r>
    </w:p>
    <w:p>
      <w:pPr>
        <w:pStyle w:val="FirstParagraph"/>
      </w:pPr>
      <w:r>
        <w:rPr>
          <w:b/>
          <w:bCs/>
        </w:rPr>
        <w:t xml:space="preserve">Concentration</w:t>
      </w:r>
      <w:r>
        <w:t xml:space="preserve"> </w:t>
      </w:r>
      <w:r>
        <w:t xml:space="preserve">:from 2.5 to 3.0</w:t>
      </w:r>
    </w:p>
    <w:p>
      <w:pPr>
        <w:pStyle w:val="BodyText"/>
      </w:pPr>
      <w:r>
        <w:rPr>
          <w:b/>
          <w:bCs/>
        </w:rPr>
        <w:t xml:space="preserve">Dangers</w:t>
      </w:r>
      <w:r>
        <w:t xml:space="preserve"> </w:t>
      </w:r>
      <w:r>
        <w:t xml:space="preserve">:</w:t>
      </w:r>
    </w:p>
    <w:p>
      <w:pPr>
        <w:numPr>
          <w:ilvl w:val="0"/>
          <w:numId w:val="1014"/>
        </w:numPr>
      </w:pPr>
      <w:r>
        <w:t xml:space="preserve">H300</w:t>
      </w:r>
      <w:r>
        <w:t xml:space="preserve"> </w:t>
      </w:r>
      <w:r>
        <w:t xml:space="preserve">Fatal if swallowed.</w:t>
      </w:r>
    </w:p>
    <w:p>
      <w:pPr>
        <w:numPr>
          <w:ilvl w:val="0"/>
          <w:numId w:val="1014"/>
        </w:numPr>
      </w:pPr>
      <w:r>
        <w:t xml:space="preserve">H314</w:t>
      </w:r>
      <w:r>
        <w:t xml:space="preserve"> </w:t>
      </w:r>
      <w:r>
        <w:t xml:space="preserve">Provoque des brûlures de la peau et des lésions oculaires graves.</w:t>
      </w:r>
    </w:p>
    <w:p>
      <w:pPr>
        <w:numPr>
          <w:ilvl w:val="0"/>
          <w:numId w:val="1014"/>
        </w:numPr>
      </w:pPr>
      <w:r>
        <w:t xml:space="preserve">H341</w:t>
      </w:r>
      <w:r>
        <w:t xml:space="preserve"> </w:t>
      </w:r>
      <w:r>
        <w:t xml:space="preserve">Susceptible d’induire des anomalies génétiques.</w:t>
      </w:r>
    </w:p>
    <w:p>
      <w:pPr>
        <w:numPr>
          <w:ilvl w:val="0"/>
          <w:numId w:val="1014"/>
        </w:numPr>
      </w:pPr>
      <w:r>
        <w:t xml:space="preserve">H372**</w:t>
      </w:r>
      <w:r>
        <w:t xml:space="preserve"> </w:t>
      </w:r>
      <w:r>
        <w:t xml:space="preserve">Risque avéré d’effets graves pour les organes à la suite d’expositions répétées ou d’une exposition prolongée.</w:t>
      </w:r>
    </w:p>
    <w:p>
      <w:pPr>
        <w:numPr>
          <w:ilvl w:val="0"/>
          <w:numId w:val="1014"/>
        </w:numPr>
      </w:pPr>
      <w:r>
        <w:t xml:space="preserve">H400</w:t>
      </w:r>
      <w:r>
        <w:t xml:space="preserve"> </w:t>
      </w:r>
      <w:r>
        <w:t xml:space="preserve">Très toxique pour les organismes aquatiques.</w:t>
      </w:r>
    </w:p>
    <w:p>
      <w:pPr>
        <w:numPr>
          <w:ilvl w:val="0"/>
          <w:numId w:val="1014"/>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6" w:name="propriétés-2"/>
    <w:p>
      <w:pPr>
        <w:pStyle w:val="Heading4"/>
      </w:pPr>
      <w:r>
        <w:t xml:space="preserve">Propriétés</w:t>
      </w:r>
    </w:p>
    <w:p>
      <w:pPr>
        <w:pStyle w:val="FirstParagraph"/>
      </w:pPr>
      <w:hyperlink r:id="rId57">
        <w:r>
          <w:rPr>
            <w:rStyle w:val="Hyperlink"/>
            <w:color w:val="0856A0"/>
            <w:u w:val="single"/>
          </w:rPr>
          <w:t xml:space="preserve">Fiche n°55 - Mercure et composés minéraux</w:t>
        </w:r>
      </w:hyperlink>
    </w:p>
    <w:p>
      <w:pPr>
        <w:numPr>
          <w:ilvl w:val="0"/>
          <w:numId w:val="1015"/>
        </w:numPr>
      </w:pPr>
      <w:hyperlink r:id="rId58">
        <w:r>
          <w:rPr>
            <w:rStyle w:val="Hyperlink"/>
            <w:color w:val="0856A0"/>
            <w:u w:val="single"/>
          </w:rPr>
          <w:t xml:space="preserve">Généralités</w:t>
        </w:r>
      </w:hyperlink>
    </w:p>
    <w:p>
      <w:pPr>
        <w:numPr>
          <w:ilvl w:val="0"/>
          <w:numId w:val="1015"/>
        </w:numPr>
      </w:pPr>
      <w:hyperlink r:id="rId59">
        <w:r>
          <w:rPr>
            <w:rStyle w:val="Hyperlink"/>
            <w:color w:val="0856A0"/>
            <w:u w:val="single"/>
          </w:rPr>
          <w:t xml:space="preserve">Caractéristiques</w:t>
        </w:r>
      </w:hyperlink>
    </w:p>
    <w:p>
      <w:pPr>
        <w:numPr>
          <w:ilvl w:val="0"/>
          <w:numId w:val="1015"/>
        </w:numPr>
      </w:pPr>
      <w:hyperlink r:id="rId60">
        <w:r>
          <w:rPr>
            <w:rStyle w:val="Hyperlink"/>
            <w:color w:val="0856A0"/>
            <w:u w:val="single"/>
          </w:rPr>
          <w:t xml:space="preserve">VLEPMesurage</w:t>
        </w:r>
      </w:hyperlink>
    </w:p>
    <w:p>
      <w:pPr>
        <w:numPr>
          <w:ilvl w:val="0"/>
          <w:numId w:val="1015"/>
        </w:numPr>
      </w:pPr>
      <w:hyperlink r:id="rId61">
        <w:r>
          <w:rPr>
            <w:rStyle w:val="Hyperlink"/>
            <w:color w:val="0856A0"/>
            <w:u w:val="single"/>
          </w:rPr>
          <w:t xml:space="preserve">Incendie - Explosion[2, 3]</w:t>
        </w:r>
      </w:hyperlink>
    </w:p>
    <w:p>
      <w:pPr>
        <w:numPr>
          <w:ilvl w:val="0"/>
          <w:numId w:val="1015"/>
        </w:numPr>
      </w:pPr>
      <w:hyperlink r:id="rId62">
        <w:r>
          <w:rPr>
            <w:rStyle w:val="Hyperlink"/>
            <w:color w:val="0856A0"/>
            <w:u w:val="single"/>
          </w:rPr>
          <w:t xml:space="preserve">Pathologie - Toxicologie</w:t>
        </w:r>
      </w:hyperlink>
    </w:p>
    <w:p>
      <w:pPr>
        <w:numPr>
          <w:ilvl w:val="0"/>
          <w:numId w:val="1015"/>
        </w:numPr>
      </w:pPr>
      <w:hyperlink r:id="rId63">
        <w:r>
          <w:rPr>
            <w:rStyle w:val="Hyperlink"/>
            <w:color w:val="0856A0"/>
            <w:u w:val="single"/>
          </w:rPr>
          <w:t xml:space="preserve">Règlementation</w:t>
        </w:r>
      </w:hyperlink>
    </w:p>
    <w:p>
      <w:pPr>
        <w:numPr>
          <w:ilvl w:val="0"/>
          <w:numId w:val="1015"/>
        </w:numPr>
      </w:pPr>
      <w:hyperlink r:id="rId64">
        <w:r>
          <w:rPr>
            <w:rStyle w:val="Hyperlink"/>
            <w:color w:val="0856A0"/>
            <w:u w:val="single"/>
          </w:rPr>
          <w:t xml:space="preserve">Recommandations</w:t>
        </w:r>
      </w:hyperlink>
    </w:p>
    <w:p>
      <w:pPr>
        <w:numPr>
          <w:ilvl w:val="0"/>
          <w:numId w:val="1015"/>
        </w:numPr>
      </w:pPr>
      <w:hyperlink r:id="rId65">
        <w:r>
          <w:rPr>
            <w:rStyle w:val="Hyperlink"/>
            <w:color w:val="0856A0"/>
            <w:u w:val="single"/>
          </w:rPr>
          <w:t xml:space="preserve">Bibliographie</w:t>
        </w:r>
      </w:hyperlink>
    </w:p>
    <w:bookmarkEnd w:id="66"/>
    <w:bookmarkEnd w:id="67"/>
    <w:bookmarkStart w:id="69" w:name="merck"/>
    <w:p>
      <w:pPr>
        <w:pStyle w:val="Heading3"/>
      </w:pPr>
      <w:r>
        <w:t xml:space="preserve">MERCK</w:t>
      </w:r>
    </w:p>
    <w:p>
      <w:pPr>
        <w:pStyle w:val="FirstParagraph"/>
      </w:pPr>
      <w:r>
        <w:rPr>
          <w:b/>
          <w:bCs/>
        </w:rPr>
        <w:t xml:space="preserve">Identification</w:t>
      </w:r>
    </w:p>
    <w:p>
      <w:pPr>
        <w:pStyle w:val="Compact"/>
        <w:numPr>
          <w:ilvl w:val="0"/>
          <w:numId w:val="1016"/>
        </w:numPr>
      </w:pPr>
      <w:r>
        <w:t xml:space="preserve">N° CAS : None</w:t>
      </w:r>
    </w:p>
    <w:p>
      <w:pPr>
        <w:pStyle w:val="Compact"/>
        <w:numPr>
          <w:ilvl w:val="0"/>
          <w:numId w:val="1016"/>
        </w:numPr>
      </w:pPr>
      <w:r>
        <w:t xml:space="preserve">N° EINECS : 231-299-8</w:t>
      </w:r>
    </w:p>
    <w:p>
      <w:pPr>
        <w:pStyle w:val="FirstParagraph"/>
      </w:pPr>
      <w:r>
        <w:rPr>
          <w:b/>
          <w:bCs/>
        </w:rPr>
        <w:t xml:space="preserve">Concentration</w:t>
      </w:r>
      <w:r>
        <w:t xml:space="preserve"> </w:t>
      </w:r>
      <w:r>
        <w:t xml:space="preserve">:Unbounded range</w:t>
      </w:r>
    </w:p>
    <w:p>
      <w:pPr>
        <w:pStyle w:val="BodyText"/>
      </w:pPr>
      <w:r>
        <w:rPr>
          <w:b/>
          <w:bCs/>
        </w:rPr>
        <w:t xml:space="preserve">Dangers</w:t>
      </w:r>
      <w:r>
        <w:t xml:space="preserve"> </w:t>
      </w:r>
      <w:r>
        <w:t xml:space="preserve">:</w:t>
      </w:r>
    </w:p>
    <w:p>
      <w:pPr>
        <w:numPr>
          <w:ilvl w:val="0"/>
          <w:numId w:val="1017"/>
        </w:numPr>
      </w:pPr>
      <w:r>
        <w:t xml:space="preserve">H300</w:t>
      </w:r>
      <w:r>
        <w:t xml:space="preserve"> </w:t>
      </w:r>
      <w:r>
        <w:t xml:space="preserve">Fatal if swallowed</w:t>
      </w:r>
    </w:p>
    <w:p>
      <w:pPr>
        <w:numPr>
          <w:ilvl w:val="0"/>
          <w:numId w:val="1017"/>
        </w:numPr>
      </w:pPr>
      <w:r>
        <w:t xml:space="preserve">H314</w:t>
      </w:r>
      <w:r>
        <w:t xml:space="preserve"> </w:t>
      </w:r>
      <w:r>
        <w:t xml:space="preserve">Provoque des brûlures de la peau et des lésions oculaires graves.</w:t>
      </w:r>
    </w:p>
    <w:p>
      <w:pPr>
        <w:numPr>
          <w:ilvl w:val="0"/>
          <w:numId w:val="1017"/>
        </w:numPr>
      </w:pPr>
      <w:r>
        <w:t xml:space="preserve">H341</w:t>
      </w:r>
      <w:r>
        <w:t xml:space="preserve"> </w:t>
      </w:r>
      <w:r>
        <w:t xml:space="preserve">Susceptible d’induire des anomalies génétiques.</w:t>
      </w:r>
    </w:p>
    <w:p>
      <w:pPr>
        <w:numPr>
          <w:ilvl w:val="0"/>
          <w:numId w:val="1017"/>
        </w:numPr>
      </w:pPr>
      <w:r>
        <w:t xml:space="preserve">H372</w:t>
      </w:r>
      <w:r>
        <w:t xml:space="preserve"> </w:t>
      </w:r>
      <w:r>
        <w:t xml:space="preserve">Risque avéré d’effets graves pour les organes à la suite d’expositions répétées ou d’une exposition prolongée.</w:t>
      </w:r>
    </w:p>
    <w:p>
      <w:pPr>
        <w:numPr>
          <w:ilvl w:val="0"/>
          <w:numId w:val="1017"/>
        </w:numPr>
      </w:pPr>
      <w:r>
        <w:t xml:space="preserve">H400</w:t>
      </w:r>
      <w:r>
        <w:t xml:space="preserve"> </w:t>
      </w:r>
      <w:r>
        <w:t xml:space="preserve">Très toxique pour les organismes aquatiques.</w:t>
      </w:r>
    </w:p>
    <w:p>
      <w:pPr>
        <w:numPr>
          <w:ilvl w:val="0"/>
          <w:numId w:val="1017"/>
        </w:numPr>
      </w:pPr>
      <w:r>
        <w:t xml:space="preserve">H410</w:t>
      </w:r>
      <w:r>
        <w:t xml:space="preserve"> </w:t>
      </w:r>
      <w:r>
        <w:t xml:space="preserve">Très toxique pour les organismes aquatiques, entraîne des effets néfastes à long terme.</w:t>
      </w:r>
    </w:p>
    <w:p>
      <w:pPr>
        <w:pStyle w:val="FirstParagraph"/>
      </w:pPr>
      <w:r>
        <w:rPr>
          <w:b/>
          <w:bCs/>
        </w:rPr>
        <w:t xml:space="preserve">Réglementation &amp; Valeurs limites</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897"/>
        <w:gridCol w:w="3022"/>
      </w:tblGrid>
      <w:tr>
        <w:trPr>
          <w:tblHeader w:val="on"/>
        </w:trPr>
        <w:tc>
          <w:tcPr/>
          <w:p>
            <w:pPr>
              <w:pStyle w:val="Compact"/>
              <w:rPr>
                <w:sz w:val="20"/>
                <w:szCs w:val="20"/>
              </w:rPr>
            </w:pPr>
            <w:r>
              <w:rPr>
                <w:sz w:val="20"/>
                <w:szCs w:val="20"/>
              </w:rPr>
              <w:t xml:space="preserve">Réglementation</w:t>
            </w:r>
          </w:p>
        </w:tc>
        <w:tc>
          <w:tcPr/>
          <w:p>
            <w:pPr>
              <w:pStyle w:val="Compact"/>
              <w:rPr>
                <w:sz w:val="20"/>
                <w:szCs w:val="20"/>
              </w:rPr>
            </w:pPr>
            <w:r>
              <w:rPr>
                <w:sz w:val="20"/>
                <w:szCs w:val="20"/>
              </w:rPr>
              <w:t xml:space="preserve">Présence / Valeur</w:t>
            </w:r>
          </w:p>
        </w:tc>
      </w:tr>
      <w:tr>
        <w:tc>
          <w:tcPr/>
          <w:p>
            <w:pPr>
              <w:pStyle w:val="Compact"/>
              <w:rPr>
                <w:sz w:val="20"/>
                <w:szCs w:val="20"/>
              </w:rPr>
            </w:pPr>
            <w:r>
              <w:rPr>
                <w:sz w:val="20"/>
                <w:szCs w:val="20"/>
              </w:rPr>
              <w:t xml:space="preserve">Classé CMR</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REACH Annexe XVII (restrictions)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REACH Annexe XIV (autorisation)</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Règlement POP</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RPB (Biocides)</w:t>
            </w:r>
          </w:p>
        </w:tc>
        <w:tc>
          <w:tcPr/>
          <w:p>
            <w:pPr>
              <w:pStyle w:val="Compact"/>
              <w:rPr>
                <w:sz w:val="20"/>
                <w:szCs w:val="20"/>
              </w:rPr>
            </w:pPr>
            <w:r>
              <w:rPr>
                <w:sz w:val="20"/>
                <w:szCs w:val="20"/>
              </w:rPr>
              <w:t xml:space="preserve">Non</w:t>
            </w:r>
          </w:p>
        </w:tc>
      </w:tr>
      <w:tr>
        <w:tc>
          <w:tcPr/>
          <w:p>
            <w:pPr>
              <w:pStyle w:val="Compact"/>
              <w:rPr>
                <w:sz w:val="20"/>
                <w:szCs w:val="20"/>
              </w:rPr>
            </w:pPr>
            <w:r>
              <w:rPr>
                <w:sz w:val="20"/>
                <w:szCs w:val="20"/>
              </w:rPr>
              <w:t xml:space="preserve">Seveso (phrases H pertinentes)</w:t>
            </w:r>
          </w:p>
        </w:tc>
        <w:tc>
          <w:tcPr/>
          <w:p>
            <w:pPr>
              <w:pStyle w:val="Compact"/>
              <w:rPr>
                <w:sz w:val="20"/>
                <w:szCs w:val="20"/>
              </w:rPr>
            </w:pPr>
            <w:r>
              <w:rPr>
                <w:sz w:val="20"/>
                <w:szCs w:val="20"/>
              </w:rPr>
              <w:t xml:space="preserve">Oui</w:t>
            </w:r>
          </w:p>
        </w:tc>
      </w:tr>
      <w:tr>
        <w:tc>
          <w:tcPr/>
          <w:p>
            <w:pPr>
              <w:pStyle w:val="Compact"/>
              <w:rPr>
                <w:sz w:val="20"/>
                <w:szCs w:val="20"/>
              </w:rPr>
            </w:pPr>
            <w:r>
              <w:rPr>
                <w:sz w:val="20"/>
                <w:szCs w:val="20"/>
              </w:rPr>
              <w:t xml:space="preserve">VLE – Code du Bien-être au travail</w:t>
            </w:r>
          </w:p>
        </w:tc>
        <w:tc>
          <w:tcPr/>
          <w:p>
            <w:pPr>
              <w:pStyle w:val="Compact"/>
              <w:rPr>
                <w:sz w:val="20"/>
                <w:szCs w:val="20"/>
              </w:rPr>
            </w:pPr>
            <w:r>
              <w:rPr>
                <w:sz w:val="20"/>
                <w:szCs w:val="20"/>
              </w:rPr>
              <w:t xml:space="preserve">Non</w:t>
            </w:r>
          </w:p>
        </w:tc>
      </w:tr>
    </w:tbl>
    <w:bookmarkStart w:id="68" w:name="propriétés-3"/>
    <w:p>
      <w:pPr>
        <w:pStyle w:val="Heading4"/>
      </w:pPr>
      <w:r>
        <w:t xml:space="preserve">Propriétés</w:t>
      </w:r>
    </w:p>
    <w:p>
      <w:pPr>
        <w:pStyle w:val="FirstParagraph"/>
      </w:pPr>
      <w:r>
        <w:t xml:space="preserve">Pas d’informations disponible.</w:t>
      </w:r>
    </w:p>
    <w:bookmarkEnd w:id="68"/>
    <w:bookmarkEnd w:id="69"/>
    <w:bookmarkEnd w:id="70"/>
    <w:bookmarkStart w:id="71" w:name="X45ad37046213581a41a58cd8a8dba04c2f3aa9c"/>
    <w:p>
      <w:pPr>
        <w:pStyle w:val="Heading2"/>
      </w:pPr>
      <w:r>
        <w:t xml:space="preserve">Protections individuelles et collectives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4202"/>
        <w:gridCol w:w="3717"/>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Mains</w:t>
            </w:r>
          </w:p>
        </w:tc>
        <w:tc>
          <w:tcPr/>
          <w:p>
            <w:pPr>
              <w:pStyle w:val="Compact"/>
              <w:rPr>
                <w:sz w:val="20"/>
                <w:szCs w:val="20"/>
              </w:rPr>
            </w:pPr>
            <w:r>
              <w:rPr>
                <w:sz w:val="20"/>
                <w:szCs w:val="20"/>
              </w:rPr>
              <w:t xml:space="preserve">Manipulation avec gants. Les gants doivent être contrôlés avant l’utilisation.</w:t>
            </w:r>
          </w:p>
        </w:tc>
      </w:tr>
      <w:tr>
        <w:tc>
          <w:tcPr/>
          <w:p>
            <w:pPr>
              <w:pStyle w:val="Compact"/>
              <w:rPr>
                <w:sz w:val="20"/>
                <w:szCs w:val="20"/>
              </w:rPr>
            </w:pPr>
            <w:r>
              <w:rPr>
                <w:sz w:val="20"/>
                <w:szCs w:val="20"/>
              </w:rPr>
              <w:t xml:space="preserve">Yeux</w:t>
            </w:r>
          </w:p>
        </w:tc>
        <w:tc>
          <w:tcPr/>
          <w:p>
            <w:pPr>
              <w:pStyle w:val="Compact"/>
              <w:rPr>
                <w:sz w:val="20"/>
                <w:szCs w:val="20"/>
              </w:rPr>
            </w:pPr>
            <w:r>
              <w:rPr>
                <w:sz w:val="20"/>
                <w:szCs w:val="20"/>
              </w:rPr>
              <w:t xml:space="preserve">Protection faciale et lunettes de sécurité. Équipement testé et approuvé selon les normes gouvernementales en vigueur, telles que NIOSH (US) ou EN 166 (EU).</w:t>
            </w:r>
          </w:p>
        </w:tc>
      </w:tr>
      <w:tr>
        <w:tc>
          <w:tcPr/>
          <w:p>
            <w:pPr>
              <w:pStyle w:val="Compact"/>
              <w:rPr>
                <w:sz w:val="20"/>
                <w:szCs w:val="20"/>
              </w:rPr>
            </w:pPr>
            <w:r>
              <w:rPr>
                <w:sz w:val="20"/>
                <w:szCs w:val="20"/>
              </w:rPr>
              <w:t xml:space="preserve">Peau</w:t>
            </w:r>
          </w:p>
        </w:tc>
        <w:tc>
          <w:tcPr/>
          <w:p>
            <w:pPr>
              <w:pStyle w:val="Compact"/>
              <w:rPr>
                <w:sz w:val="20"/>
                <w:szCs w:val="20"/>
              </w:rPr>
            </w:pPr>
            <w:r>
              <w:rPr>
                <w:sz w:val="20"/>
                <w:szCs w:val="20"/>
              </w:rPr>
              <w:t xml:space="preserve">Manipulation avec gants. Les gants doivent être contrôlés avant l’utilisation. Technique de retrait appropriée afin d’éviter que la peau ne touche la surface extérieure du gant. Les gants contaminés doivent être jetés après utilisation conformément aux lois en vigueur et aux bonnes pratiques de laboratoire.</w:t>
            </w:r>
          </w:p>
        </w:tc>
      </w:tr>
      <w:tr>
        <w:tc>
          <w:tcPr/>
          <w:p>
            <w:pPr>
              <w:pStyle w:val="Compact"/>
              <w:rPr>
                <w:sz w:val="20"/>
                <w:szCs w:val="20"/>
              </w:rPr>
            </w:pPr>
            <w:r>
              <w:rPr>
                <w:sz w:val="20"/>
                <w:szCs w:val="20"/>
              </w:rPr>
              <w:t xml:space="preserve">Système respiratoire</w:t>
            </w:r>
          </w:p>
        </w:tc>
        <w:tc>
          <w:tcPr/>
          <w:p>
            <w:pPr>
              <w:pStyle w:val="Compact"/>
              <w:rPr>
                <w:sz w:val="20"/>
                <w:szCs w:val="20"/>
              </w:rPr>
            </w:pPr>
            <w:r>
              <w:rPr>
                <w:sz w:val="20"/>
                <w:szCs w:val="20"/>
              </w:rPr>
              <w:t xml:space="preserve">Quand l’évaluation des risques montre que le port d’appareils respiratoires est approprié, utiliser un masque facial total avec cartouche polyvalente (US) ou de type ABEK (EN 14387). Si le masque est le seul moyen de protection, utiliser un appareil respiratoire autonome à écran facial total. Utiliser du matériel testé et approuvé par des normes telles que NIOSH (US) ou CEN (EU).</w:t>
            </w:r>
          </w:p>
        </w:tc>
      </w:tr>
      <w:tr>
        <w:tc>
          <w:tcPr/>
          <w:p>
            <w:pPr>
              <w:pStyle w:val="Compact"/>
              <w:rPr>
                <w:sz w:val="20"/>
                <w:szCs w:val="20"/>
              </w:rPr>
            </w:pPr>
            <w:r>
              <w:rPr>
                <w:sz w:val="20"/>
                <w:szCs w:val="20"/>
              </w:rPr>
              <w:t xml:space="preserve">Corps</w:t>
            </w:r>
          </w:p>
        </w:tc>
        <w:tc>
          <w:tcPr/>
          <w:p>
            <w:pPr>
              <w:pStyle w:val="Compact"/>
              <w:rPr>
                <w:sz w:val="20"/>
                <w:szCs w:val="20"/>
              </w:rPr>
            </w:pPr>
            <w:r>
              <w:rPr>
                <w:sz w:val="20"/>
                <w:szCs w:val="20"/>
              </w:rPr>
              <w:t xml:space="preserve">Combinaison complète de protection contre les produits chimiques. Le type d’équipement de protection doit être sélectionné en fonction de la concentration et de la quantité de la substance dangereuse au lieu de travail.</w:t>
            </w:r>
          </w:p>
        </w:tc>
      </w:tr>
    </w:tbl>
    <w:bookmarkEnd w:id="71"/>
    <w:bookmarkStart w:id="72" w:name="Xc141b1b6429233fc1a5306592e7c0023f190cfe"/>
    <w:p>
      <w:pPr>
        <w:pStyle w:val="Heading2"/>
      </w:pPr>
      <w:r>
        <w:t xml:space="preserve">Conditions de stockage et de manipulation à envisager</w:t>
      </w:r>
    </w:p>
    <w:tbl>
      <w:tblPr>
        <w:tblStyle w:val="TableGrid"/>
        <w:tblW w:type="pct" w:w="5000"/>
        <w:jc w:val="left"/>
        <w:tblLayout w:type="autofit"/>
        <w:tblLook w:firstRow="1" w:lastRow="0" w:firstColumn="0" w:lastColumn="0" w:noHBand="0" w:noVBand="1" w:val="0020"/>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Grid>
        <w:gridCol w:w="3009"/>
        <w:gridCol w:w="4910"/>
      </w:tblGrid>
      <w:tr>
        <w:trPr>
          <w:tblHeader w:val="on"/>
        </w:trPr>
        <w:tc>
          <w:tcPr/>
          <w:p>
            <w:pPr>
              <w:pStyle w:val="Compact"/>
              <w:rPr>
                <w:sz w:val="20"/>
                <w:szCs w:val="20"/>
              </w:rPr>
            </w:pPr>
            <w:r>
              <w:rPr>
                <w:sz w:val="20"/>
                <w:szCs w:val="20"/>
              </w:rPr>
              <w:t xml:space="preserve">Zones à protéger</w:t>
            </w:r>
          </w:p>
        </w:tc>
        <w:tc>
          <w:tcPr/>
          <w:p>
            <w:pPr>
              <w:pStyle w:val="Compact"/>
              <w:rPr>
                <w:sz w:val="20"/>
                <w:szCs w:val="20"/>
              </w:rPr>
            </w:pPr>
            <w:r>
              <w:rPr>
                <w:sz w:val="20"/>
                <w:szCs w:val="20"/>
              </w:rPr>
              <w:t xml:space="preserve">Mesures à envisager</w:t>
            </w:r>
          </w:p>
        </w:tc>
      </w:tr>
      <w:tr>
        <w:tc>
          <w:tcPr/>
          <w:p>
            <w:pPr>
              <w:pStyle w:val="Compact"/>
              <w:rPr>
                <w:sz w:val="20"/>
                <w:szCs w:val="20"/>
              </w:rPr>
            </w:pPr>
            <w:r>
              <w:rPr>
                <w:sz w:val="20"/>
                <w:szCs w:val="20"/>
              </w:rPr>
              <w:t xml:space="preserve">Précautions à prendre pour une manipulation sans danger</w:t>
            </w:r>
          </w:p>
        </w:tc>
        <w:tc>
          <w:tcPr/>
          <w:p>
            <w:pPr>
              <w:pStyle w:val="Compact"/>
              <w:rPr>
                <w:sz w:val="20"/>
                <w:szCs w:val="20"/>
              </w:rPr>
            </w:pPr>
            <w:r>
              <w:rPr>
                <w:sz w:val="20"/>
                <w:szCs w:val="20"/>
              </w:rPr>
              <w:t xml:space="preserve">Éviter le contact avec la peau et les yeux ; éviter de respirer les vapeurs ou le brouillard.</w:t>
            </w:r>
          </w:p>
        </w:tc>
      </w:tr>
      <w:tr>
        <w:tc>
          <w:tcPr/>
          <w:p>
            <w:pPr>
              <w:pStyle w:val="Compact"/>
              <w:rPr>
                <w:sz w:val="20"/>
                <w:szCs w:val="20"/>
              </w:rPr>
            </w:pPr>
            <w:r>
              <w:rPr>
                <w:sz w:val="20"/>
                <w:szCs w:val="20"/>
              </w:rPr>
              <w:t xml:space="preserve">Conditions d’un stockage sûr, y compris d’éventuelles incompatibilités</w:t>
            </w:r>
          </w:p>
        </w:tc>
        <w:tc>
          <w:tcPr/>
          <w:p>
            <w:pPr>
              <w:pStyle w:val="Compact"/>
              <w:rPr>
                <w:sz w:val="20"/>
                <w:szCs w:val="20"/>
              </w:rPr>
            </w:pPr>
            <w:r>
              <w:rPr>
                <w:sz w:val="20"/>
                <w:szCs w:val="20"/>
              </w:rPr>
              <w:t xml:space="preserve">Conditions de stockage sûr : - Tenir le récipient bien fermé dans un endroit sec et bien aéré. - Refermer soigneusement tout récipient entamé et le stocker verticalement afin d’éviter tout écoulement. - Entreposer dans un endroit frais. - Température de stockage recommandée : 2 – 8 °C. Incompatibilités potentielles : - Oxydants forts.</w:t>
            </w:r>
          </w:p>
        </w:tc>
      </w:tr>
      <w:tr>
        <w:tc>
          <w:tcPr/>
          <w:p>
            <w:pPr>
              <w:pStyle w:val="Compact"/>
              <w:rPr>
                <w:sz w:val="20"/>
                <w:szCs w:val="20"/>
              </w:rPr>
            </w:pPr>
            <w:r>
              <w:rPr>
                <w:sz w:val="20"/>
                <w:szCs w:val="20"/>
              </w:rPr>
              <w:t xml:space="preserve">Utilisation(s) finale(s) particulière(s)</w:t>
            </w:r>
          </w:p>
        </w:tc>
        <w:tc>
          <w:tcPr/>
          <w:p>
            <w:pPr>
              <w:pStyle w:val="Compact"/>
              <w:rPr>
                <w:sz w:val="20"/>
                <w:szCs w:val="20"/>
              </w:rPr>
            </w:pPr>
            <w:r>
              <w:rPr>
                <w:sz w:val="20"/>
                <w:szCs w:val="20"/>
              </w:rPr>
              <w:t xml:space="preserve">Utilisations identifiées : substances chimiques de laboratoire, fabrication de substances.</w:t>
            </w:r>
          </w:p>
        </w:tc>
      </w:tr>
    </w:tbl>
    <w:bookmarkEnd w:id="72"/>
    <w:bookmarkEnd w:id="73"/>
    <w:sectPr w:rsidR="00E0006B">
      <w:pgSz w:h="15840" w:w="12240"/>
      <w:pgMar w:bottom="1440" w:footer="720" w:gutter="0" w:header="720" w:left="1440" w:right="1440" w:top="1440"/>
      <w:cols w:space="720"/>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New Roman (Headings CS)">
    <w:altName w:val="Times New Roman"/>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1B169FA4"/>
    <w:lvl w:ilvl="0">
      <w:numFmt w:val="bullet"/>
      <w:lvlText w:val=" "/>
      <w:lvlJc w:val="left"/>
      <w:pPr>
        <w:ind w:hanging="360" w:left="720"/>
      </w:pPr>
    </w:lvl>
    <w:lvl w:ilvl="1">
      <w:numFmt w:val="bullet"/>
      <w:lvlText w:val=" "/>
      <w:lvlJc w:val="left"/>
      <w:pPr>
        <w:ind w:hanging="360" w:left="1440"/>
      </w:pPr>
    </w:lvl>
    <w:lvl w:ilvl="2">
      <w:numFmt w:val="bullet"/>
      <w:lvlText w:val=" "/>
      <w:lvlJc w:val="left"/>
      <w:pPr>
        <w:ind w:hanging="360" w:left="2160"/>
      </w:pPr>
    </w:lvl>
    <w:lvl w:ilvl="3">
      <w:numFmt w:val="bullet"/>
      <w:lvlText w:val=" "/>
      <w:lvlJc w:val="left"/>
      <w:pPr>
        <w:ind w:hanging="360" w:left="2880"/>
      </w:pPr>
    </w:lvl>
    <w:lvl w:ilvl="4">
      <w:numFmt w:val="bullet"/>
      <w:lvlText w:val=" "/>
      <w:lvlJc w:val="left"/>
      <w:pPr>
        <w:ind w:hanging="360" w:left="3600"/>
      </w:pPr>
    </w:lvl>
    <w:lvl w:ilvl="5">
      <w:numFmt w:val="bullet"/>
      <w:lvlText w:val=" "/>
      <w:lvlJc w:val="left"/>
      <w:pPr>
        <w:ind w:hanging="360" w:left="4320"/>
      </w:pPr>
    </w:lvl>
    <w:lvl w:ilvl="6">
      <w:numFmt w:val="bullet"/>
      <w:lvlText w:val=" "/>
      <w:lvlJc w:val="left"/>
      <w:pPr>
        <w:ind w:hanging="360" w:left="5040"/>
      </w:pPr>
    </w:lvl>
    <w:lvl w:ilvl="7">
      <w:numFmt w:val="bullet"/>
      <w:lvlText w:val=" "/>
      <w:lvlJc w:val="left"/>
      <w:pPr>
        <w:ind w:hanging="360" w:left="5760"/>
      </w:pPr>
    </w:lvl>
    <w:lvl w:ilvl="8">
      <w:numFmt w:val="bullet"/>
      <w:lvlText w:val=" "/>
      <w:lvlJc w:val="left"/>
      <w:pPr>
        <w:ind w:hanging="360" w:left="6480"/>
      </w:pPr>
    </w:lvl>
  </w:abstractNum>
  <w:abstractNum w15:restartNumberingAfterBreak="0" w:abstractNumId="1">
    <w:nsid w:val="0000A991"/>
    <w:multiLevelType w:val="multilevel"/>
    <w:tmpl w:val="1892DF90"/>
    <w:lvl w:ilvl="0">
      <w:numFmt w:val="bullet"/>
      <w:lvlText w:val=""/>
      <w:lvlJc w:val="left"/>
      <w:pPr>
        <w:ind w:hanging="360" w:left="720"/>
      </w:pPr>
      <w:rPr>
        <w:rFonts w:ascii="Symbol" w:cs="Symbol" w:hAnsi="Symbol" w:hint="default"/>
      </w:rPr>
    </w:lvl>
    <w:lvl w:ilvl="1">
      <w:numFmt w:val="bullet"/>
      <w:lvlText w:val="o"/>
      <w:lvlJc w:val="left"/>
      <w:pPr>
        <w:ind w:hanging="360" w:left="1440"/>
      </w:pPr>
      <w:rPr>
        <w:rFonts w:ascii="Courier New" w:cs="Courier New" w:hAnsi="Courier New" w:hint="default"/>
      </w:rPr>
    </w:lvl>
    <w:lvl w:ilvl="2">
      <w:numFmt w:val="bullet"/>
      <w:lvlText w:val=""/>
      <w:lvlJc w:val="left"/>
      <w:pPr>
        <w:ind w:hanging="360" w:left="2160"/>
      </w:pPr>
      <w:rPr>
        <w:rFonts w:ascii="Wingdings" w:cs="Wingdings" w:hAnsi="Wingdings" w:hint="default"/>
      </w:rPr>
    </w:lvl>
    <w:lvl w:ilvl="3">
      <w:numFmt w:val="bullet"/>
      <w:lvlText w:val=""/>
      <w:lvlJc w:val="left"/>
      <w:pPr>
        <w:ind w:hanging="360" w:left="2880"/>
      </w:pPr>
      <w:rPr>
        <w:rFonts w:ascii="Symbol" w:cs="Symbol" w:hAnsi="Symbol" w:hint="default"/>
      </w:rPr>
    </w:lvl>
    <w:lvl w:ilvl="4">
      <w:numFmt w:val="bullet"/>
      <w:lvlText w:val="o"/>
      <w:lvlJc w:val="left"/>
      <w:pPr>
        <w:ind w:hanging="360" w:left="3600"/>
      </w:pPr>
      <w:rPr>
        <w:rFonts w:ascii="Courier New" w:cs="Courier New" w:hAnsi="Courier New" w:hint="default"/>
      </w:rPr>
    </w:lvl>
    <w:lvl w:ilvl="5">
      <w:numFmt w:val="bullet"/>
      <w:lvlText w:val=""/>
      <w:lvlJc w:val="left"/>
      <w:pPr>
        <w:ind w:hanging="360" w:left="4320"/>
      </w:pPr>
      <w:rPr>
        <w:rFonts w:ascii="Wingdings" w:cs="Wingdings" w:hAnsi="Wingdings" w:hint="default"/>
      </w:rPr>
    </w:lvl>
    <w:lvl w:ilvl="6">
      <w:numFmt w:val="bullet"/>
      <w:lvlText w:val=""/>
      <w:lvlJc w:val="left"/>
      <w:pPr>
        <w:ind w:hanging="360" w:left="5040"/>
      </w:pPr>
      <w:rPr>
        <w:rFonts w:ascii="Symbol" w:cs="Symbol" w:hAnsi="Symbol" w:hint="default"/>
      </w:rPr>
    </w:lvl>
    <w:lvl w:ilvl="7">
      <w:numFmt w:val="bullet"/>
      <w:lvlText w:val="o"/>
      <w:lvlJc w:val="left"/>
      <w:pPr>
        <w:ind w:hanging="360" w:left="5760"/>
      </w:pPr>
      <w:rPr>
        <w:rFonts w:ascii="Courier New" w:cs="Courier New" w:hAnsi="Courier New" w:hint="default"/>
      </w:rPr>
    </w:lvl>
    <w:lvl w:ilvl="8">
      <w:numFmt w:val="bullet"/>
      <w:lvlText w:val=""/>
      <w:lvlJc w:val="left"/>
      <w:pPr>
        <w:ind w:hanging="360" w:left="6480"/>
      </w:pPr>
      <w:rPr>
        <w:rFonts w:ascii="Wingdings" w:cs="Wingdings" w:hAnsi="Wingdings" w:hint="default"/>
      </w:rPr>
    </w:lvl>
  </w:abstractNum>
  <w:abstractNum w15:restartNumberingAfterBreak="0" w:abstractNumId="2">
    <w:nsid w:val="04352475"/>
    <w:multiLevelType w:val="multilevel"/>
    <w:tmpl w:val="0B5C3C7C"/>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3">
    <w:nsid w:val="27580FEE"/>
    <w:multiLevelType w:val="multilevel"/>
    <w:tmpl w:val="9D544CDC"/>
    <w:styleLink w:val="CurrentList2"/>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4">
    <w:nsid w:val="400A04EB"/>
    <w:multiLevelType w:val="hybridMultilevel"/>
    <w:tmpl w:val="C7FEDEBC"/>
    <w:lvl w:ilvl="0" w:tplc="7876CDB4">
      <w:numFmt w:val="bullet"/>
      <w:lvlText w:val="-"/>
      <w:lvlJc w:val="left"/>
      <w:pPr>
        <w:ind w:hanging="360" w:left="720"/>
      </w:pPr>
      <w:rPr>
        <w:rFonts w:ascii="Calibri Light" w:cstheme="minorBidi" w:eastAsiaTheme="minorHAnsi" w:hAnsi="Calibri Light" w:hint="default"/>
      </w:rPr>
    </w:lvl>
    <w:lvl w:ilvl="1" w:tentative="1" w:tplc="04090003">
      <w:start w:val="1"/>
      <w:numFmt w:val="bullet"/>
      <w:lvlText w:val="o"/>
      <w:lvlJc w:val="left"/>
      <w:pPr>
        <w:ind w:hanging="360" w:left="1440"/>
      </w:pPr>
      <w:rPr>
        <w:rFonts w:ascii="Courier New" w:cs="Courier New" w:hAnsi="Courier New" w:hint="default"/>
      </w:rPr>
    </w:lvl>
    <w:lvl w:ilvl="2" w:tentative="1" w:tplc="04090005">
      <w:start w:val="1"/>
      <w:numFmt w:val="bullet"/>
      <w:lvlText w:val=""/>
      <w:lvlJc w:val="left"/>
      <w:pPr>
        <w:ind w:hanging="360" w:left="2160"/>
      </w:pPr>
      <w:rPr>
        <w:rFonts w:ascii="Wingdings" w:hAnsi="Wingdings" w:hint="default"/>
      </w:rPr>
    </w:lvl>
    <w:lvl w:ilvl="3" w:tentative="1" w:tplc="04090001">
      <w:start w:val="1"/>
      <w:numFmt w:val="bullet"/>
      <w:lvlText w:val=""/>
      <w:lvlJc w:val="left"/>
      <w:pPr>
        <w:ind w:hanging="360" w:left="2880"/>
      </w:pPr>
      <w:rPr>
        <w:rFonts w:ascii="Symbol" w:hAnsi="Symbol" w:hint="default"/>
      </w:rPr>
    </w:lvl>
    <w:lvl w:ilvl="4" w:tentative="1" w:tplc="04090003">
      <w:start w:val="1"/>
      <w:numFmt w:val="bullet"/>
      <w:lvlText w:val="o"/>
      <w:lvlJc w:val="left"/>
      <w:pPr>
        <w:ind w:hanging="360" w:left="3600"/>
      </w:pPr>
      <w:rPr>
        <w:rFonts w:ascii="Courier New" w:cs="Courier New" w:hAnsi="Courier New" w:hint="default"/>
      </w:rPr>
    </w:lvl>
    <w:lvl w:ilvl="5" w:tentative="1" w:tplc="04090005">
      <w:start w:val="1"/>
      <w:numFmt w:val="bullet"/>
      <w:lvlText w:val=""/>
      <w:lvlJc w:val="left"/>
      <w:pPr>
        <w:ind w:hanging="360" w:left="4320"/>
      </w:pPr>
      <w:rPr>
        <w:rFonts w:ascii="Wingdings" w:hAnsi="Wingdings" w:hint="default"/>
      </w:rPr>
    </w:lvl>
    <w:lvl w:ilvl="6" w:tentative="1" w:tplc="04090001">
      <w:start w:val="1"/>
      <w:numFmt w:val="bullet"/>
      <w:lvlText w:val=""/>
      <w:lvlJc w:val="left"/>
      <w:pPr>
        <w:ind w:hanging="360" w:left="5040"/>
      </w:pPr>
      <w:rPr>
        <w:rFonts w:ascii="Symbol" w:hAnsi="Symbol" w:hint="default"/>
      </w:rPr>
    </w:lvl>
    <w:lvl w:ilvl="7" w:tentative="1" w:tplc="04090003">
      <w:start w:val="1"/>
      <w:numFmt w:val="bullet"/>
      <w:lvlText w:val="o"/>
      <w:lvlJc w:val="left"/>
      <w:pPr>
        <w:ind w:hanging="360" w:left="5760"/>
      </w:pPr>
      <w:rPr>
        <w:rFonts w:ascii="Courier New" w:cs="Courier New" w:hAnsi="Courier New" w:hint="default"/>
      </w:rPr>
    </w:lvl>
    <w:lvl w:ilvl="8" w:tentative="1" w:tplc="04090005">
      <w:start w:val="1"/>
      <w:numFmt w:val="bullet"/>
      <w:lvlText w:val=""/>
      <w:lvlJc w:val="left"/>
      <w:pPr>
        <w:ind w:hanging="360" w:left="6480"/>
      </w:pPr>
      <w:rPr>
        <w:rFonts w:ascii="Wingdings" w:hAnsi="Wingdings" w:hint="default"/>
      </w:rPr>
    </w:lvl>
  </w:abstractNum>
  <w:abstractNum w15:restartNumberingAfterBreak="0" w:abstractNumId="5">
    <w:nsid w:val="50E51DAE"/>
    <w:multiLevelType w:val="multilevel"/>
    <w:tmpl w:val="563A878E"/>
    <w:styleLink w:val="CurrentList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15:restartNumberingAfterBreak="0" w:abstractNumId="6">
    <w:nsid w:val="52107C0B"/>
    <w:multiLevelType w:val="multilevel"/>
    <w:tmpl w:val="BBB8FE78"/>
    <w:lvl w:ilvl="0">
      <w:start w:val="1"/>
      <w:numFmt w:val="decimal"/>
      <w:isLgl/>
      <w:lvlText w:val="%1."/>
      <w:lvlJc w:val="left"/>
      <w:pPr>
        <w:ind w:hanging="360" w:left="360"/>
      </w:pPr>
      <w:rPr>
        <w:rFonts w:hint="default"/>
      </w:rPr>
    </w:lvl>
    <w:lvl w:ilvl="1">
      <w:start w:val="1"/>
      <w:numFmt w:val="decimal"/>
      <w:lvlText w:val="%1.%2."/>
      <w:lvlJc w:val="left"/>
      <w:pPr>
        <w:ind w:hanging="432" w:left="792"/>
      </w:pPr>
      <w:rPr>
        <w:rFonts w:hint="default"/>
      </w:rPr>
    </w:lvl>
    <w:lvl w:ilvl="2">
      <w:start w:val="1"/>
      <w:numFmt w:val="decimal"/>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15:restartNumberingAfterBreak="0" w:abstractNumId="7">
    <w:nsid w:val="7CD12584"/>
    <w:multiLevelType w:val="multilevel"/>
    <w:tmpl w:val="06BCBE18"/>
    <w:lvl w:ilvl="0">
      <w:start w:val="1"/>
      <w:numFmt w:val="decimal"/>
      <w:pStyle w:val="Heading1"/>
      <w:isLgl/>
      <w:lvlText w:val="%1."/>
      <w:lvlJc w:val="left"/>
      <w:pPr>
        <w:ind w:hanging="360" w:left="360"/>
      </w:pPr>
      <w:rPr>
        <w:rFonts w:hint="default"/>
      </w:rPr>
    </w:lvl>
    <w:lvl w:ilvl="1">
      <w:start w:val="1"/>
      <w:numFmt w:val="decimal"/>
      <w:pStyle w:val="Heading2"/>
      <w:lvlText w:val="%1.%2."/>
      <w:lvlJc w:val="left"/>
      <w:pPr>
        <w:ind w:hanging="432" w:left="792"/>
      </w:pPr>
      <w:rPr>
        <w:rFonts w:hint="default"/>
      </w:rPr>
    </w:lvl>
    <w:lvl w:ilvl="2">
      <w:start w:val="1"/>
      <w:numFmt w:val="decimal"/>
      <w:pStyle w:val="Heading3"/>
      <w:lvlText w:val="%1.%2.%3."/>
      <w:lvlJc w:val="left"/>
      <w:pPr>
        <w:ind w:hanging="504" w:left="1224"/>
      </w:pPr>
      <w:rPr>
        <w:rFonts w:hint="default"/>
      </w:rPr>
    </w:lvl>
    <w:lvl w:ilvl="3">
      <w:start w:val="1"/>
      <w:numFmt w:val="decimal"/>
      <w:lvlText w:val="%1.%2.%3.%4."/>
      <w:lvlJc w:val="left"/>
      <w:pPr>
        <w:ind w:hanging="648" w:left="1728"/>
      </w:pPr>
      <w:rPr>
        <w:rFonts w:hint="default"/>
      </w:rPr>
    </w:lvl>
    <w:lvl w:ilvl="4">
      <w:start w:val="1"/>
      <w:numFmt w:val="decimal"/>
      <w:lvlText w:val="%1.%2.%3.%4.%5."/>
      <w:lvlJc w:val="left"/>
      <w:pPr>
        <w:ind w:hanging="792" w:left="2232"/>
      </w:pPr>
      <w:rPr>
        <w:rFonts w:hint="default"/>
      </w:rPr>
    </w:lvl>
    <w:lvl w:ilvl="5">
      <w:start w:val="1"/>
      <w:numFmt w:val="decimal"/>
      <w:lvlText w:val="%1.%2.%3.%4.%5.%6."/>
      <w:lvlJc w:val="left"/>
      <w:pPr>
        <w:ind w:hanging="936" w:left="2736"/>
      </w:pPr>
      <w:rPr>
        <w:rFonts w:hint="default"/>
      </w:rPr>
    </w:lvl>
    <w:lvl w:ilvl="6">
      <w:start w:val="1"/>
      <w:numFmt w:val="decimal"/>
      <w:lvlText w:val="%1.%2.%3.%4.%5.%6.%7."/>
      <w:lvlJc w:val="left"/>
      <w:pPr>
        <w:ind w:hanging="1080" w:left="3240"/>
      </w:pPr>
      <w:rPr>
        <w:rFonts w:hint="default"/>
      </w:rPr>
    </w:lvl>
    <w:lvl w:ilvl="7">
      <w:start w:val="1"/>
      <w:numFmt w:val="decimal"/>
      <w:lvlText w:val="%1.%2.%3.%4.%5.%6.%7.%8."/>
      <w:lvlJc w:val="left"/>
      <w:pPr>
        <w:ind w:hanging="1224" w:left="3744"/>
      </w:pPr>
      <w:rPr>
        <w:rFonts w:hint="default"/>
      </w:rPr>
    </w:lvl>
    <w:lvl w:ilvl="8">
      <w:start w:val="1"/>
      <w:numFmt w:val="decimal"/>
      <w:lvlText w:val="%1.%2.%3.%4.%5.%6.%7.%8.%9."/>
      <w:lvlJc w:val="left"/>
      <w:pPr>
        <w:ind w:hanging="1440" w:left="4320"/>
      </w:pPr>
      <w:rPr>
        <w:rFonts w:hint="default"/>
      </w:rPr>
    </w:lvl>
  </w:abstractNum>
  <w:abstractNum w:abstractNumId="990">
    <w:nsid w:val="0000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0000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16cid:durableId="1720471213" w:numId="1">
    <w:abstractNumId w:val="2"/>
  </w:num>
  <w:num w16cid:durableId="1648320710" w:numId="2">
    <w:abstractNumId w:val="5"/>
  </w:num>
  <w:num w16cid:durableId="2017804043" w:numId="3">
    <w:abstractNumId w:val="6"/>
  </w:num>
  <w:num w16cid:durableId="1651909906" w:numId="4">
    <w:abstractNumId w:val="3"/>
  </w:num>
  <w:num w16cid:durableId="521095555" w:numId="5">
    <w:abstractNumId w:val="7"/>
  </w:num>
  <w:num w16cid:durableId="817499995" w:numId="6">
    <w:abstractNumId w:val="4"/>
  </w:num>
  <w:num w16cid:durableId="1906332917" w:numId="7">
    <w:abstractNumId w:val="0"/>
  </w:num>
  <w:num w16cid:durableId="1745058132" w:numId="8">
    <w:abstractNumId w:val="1"/>
  </w:num>
  <w:num w16cid:durableId="1817255597" w:numId="9">
    <w:abstractNumId w:val="1"/>
  </w:num>
  <w:num w16cid:durableId="172231987" w:numId="10">
    <w:abstractNumId w:val="1"/>
  </w:num>
  <w:num w16cid:durableId="92215818" w:numId="11">
    <w:abstractNumId w:val="1"/>
  </w:num>
  <w:num w16cid:durableId="1483934940" w:numId="12">
    <w:abstractNumId w:val="1"/>
  </w:num>
  <w:num w16cid:durableId="1150366971" w:numId="13">
    <w:abstractNumId w:val="1"/>
  </w:num>
  <w:num w16cid:durableId="1761292258" w:numId="14">
    <w:abstractNumId w:val="1"/>
  </w:num>
  <w:num w16cid:durableId="346903929" w:numId="15">
    <w:abstractNumId w:val="1"/>
  </w:num>
  <w:num w16cid:durableId="1559971392" w:numId="16">
    <w:abstractNumId w:val="1"/>
  </w:num>
  <w:num w16cid:durableId="517354298" w:numId="17">
    <w:abstractNumId w:val="1"/>
  </w:num>
  <w:num w16cid:durableId="833032575" w:numId="18">
    <w:abstractNumId w:val="1"/>
  </w: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60"/>
  <w:embedSystemFonts/>
  <w:proofState w:grammar="clean" w:spelling="clean"/>
  <w:stylePaneFormatFilter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al="1004" w:visibleStyles="0"/>
  <w:doNotTrackMoves/>
  <w:defaultTabStop w:val="720"/>
  <w:defaultTableStyle w:val="TableGrid"/>
  <w:drawingGridHorizontalSpacing w:val="360"/>
  <w:drawingGridVerticalSpacing w:val="360"/>
  <w:displayHorizontalDrawingGridEvery w:val="0"/>
  <w:displayVerticalDrawingGridEvery w:val="0"/>
  <w:characterSpacingControl w:val="doNotCompress"/>
  <w:savePreviewPicture/>
  <w:footnotePr>
    <w:footnote w:id="-1"/>
    <w:footnote w:id="0"/>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D39"/>
    <w:rsid w:val="001509A7"/>
    <w:rsid w:val="00267AAB"/>
    <w:rsid w:val="003A690E"/>
    <w:rsid w:val="00414B90"/>
    <w:rsid w:val="004528CD"/>
    <w:rsid w:val="00526565"/>
    <w:rsid w:val="00541D66"/>
    <w:rsid w:val="00544B38"/>
    <w:rsid w:val="00565810"/>
    <w:rsid w:val="006148BD"/>
    <w:rsid w:val="00666DED"/>
    <w:rsid w:val="008165A3"/>
    <w:rsid w:val="00860E1D"/>
    <w:rsid w:val="008852B8"/>
    <w:rsid w:val="0094385A"/>
    <w:rsid w:val="00A1506E"/>
    <w:rsid w:val="00A64414"/>
    <w:rsid w:val="00AC12F5"/>
    <w:rsid w:val="00AD54C5"/>
    <w:rsid w:val="00B03303"/>
    <w:rsid w:val="00B31D39"/>
    <w:rsid w:val="00DE2473"/>
    <w:rsid w:val="00E0006B"/>
    <w:rsid w:val="00E218FB"/>
    <w:rsid w:val="00E820F7"/>
    <w:rsid w:val="00EB543D"/>
    <w:rsid w:val="00F41D15"/>
    <w:rsid w:val="00FA1C42"/>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HAnsi" w:hAnsiTheme="minorHAnsi"/>
        <w:kern w:val="2"/>
        <w:sz w:val="24"/>
        <w:szCs w:val="24"/>
        <w:lang w:bidi="ar-SA" w:eastAsia="en-US" w:val="en-US"/>
        <w14:ligatures w14:val="standardContextual"/>
      </w:rPr>
    </w:rPrDefault>
    <w:pPrDefault>
      <w:pPr>
        <w:spacing w:after="160" w:line="27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Normal" w:type="paragraph">
    <w:name w:val="Normal"/>
    <w:qFormat/>
    <w:rsid w:val="00B31D39"/>
    <w:rPr>
      <w:rFonts w:ascii="Calibri" w:hAnsi="Calibri"/>
    </w:rPr>
  </w:style>
  <w:style w:styleId="Heading1" w:type="paragraph">
    <w:name w:val="heading 1"/>
    <w:basedOn w:val="Normal"/>
    <w:next w:val="Normal"/>
    <w:link w:val="Heading1Char"/>
    <w:uiPriority w:val="9"/>
    <w:qFormat/>
    <w:rsid w:val="00B31D39"/>
    <w:pPr>
      <w:keepNext/>
      <w:keepLines/>
      <w:numPr>
        <w:numId w:val="5"/>
      </w:numPr>
      <w:spacing w:after="80" w:before="360"/>
      <w:outlineLvl w:val="0"/>
    </w:pPr>
    <w:rPr>
      <w:rFonts w:cstheme="majorBidi" w:eastAsiaTheme="majorEastAsia"/>
      <w:b/>
      <w:color w:themeColor="accent1" w:themeShade="BF" w:val="0F4761"/>
      <w:sz w:val="40"/>
      <w:szCs w:val="40"/>
    </w:rPr>
  </w:style>
  <w:style w:styleId="Heading2" w:type="paragraph">
    <w:name w:val="heading 2"/>
    <w:basedOn w:val="Heading1"/>
    <w:next w:val="Normal"/>
    <w:link w:val="Heading2Char"/>
    <w:uiPriority w:val="9"/>
    <w:unhideWhenUsed/>
    <w:qFormat/>
    <w:rsid w:val="00FA1C42"/>
    <w:pPr>
      <w:numPr>
        <w:ilvl w:val="1"/>
      </w:numPr>
      <w:spacing w:before="160"/>
      <w:ind w:left="432"/>
      <w:outlineLvl w:val="1"/>
    </w:pPr>
    <w:rPr>
      <w:sz w:val="32"/>
      <w:szCs w:val="32"/>
    </w:rPr>
  </w:style>
  <w:style w:styleId="Heading3" w:type="paragraph">
    <w:name w:val="heading 3"/>
    <w:basedOn w:val="Heading2"/>
    <w:next w:val="Normal"/>
    <w:link w:val="Heading3Char"/>
    <w:uiPriority w:val="9"/>
    <w:unhideWhenUsed/>
    <w:qFormat/>
    <w:rsid w:val="00FA1C42"/>
    <w:pPr>
      <w:numPr>
        <w:ilvl w:val="2"/>
      </w:numPr>
      <w:ind w:left="504"/>
      <w:outlineLvl w:val="2"/>
    </w:pPr>
    <w:rPr>
      <w:rFonts w:cs="Times New Roman (Headings CS)"/>
      <w:sz w:val="28"/>
      <w:szCs w:val="28"/>
    </w:rPr>
  </w:style>
  <w:style w:styleId="Heading4" w:type="paragraph">
    <w:name w:val="heading 4"/>
    <w:basedOn w:val="Normal"/>
    <w:next w:val="Normal"/>
    <w:link w:val="Heading4Char"/>
    <w:uiPriority w:val="9"/>
    <w:semiHidden/>
    <w:unhideWhenUsed/>
    <w:qFormat/>
    <w:rsid w:val="00B31D3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Normal"/>
    <w:link w:val="Heading5Char"/>
    <w:uiPriority w:val="9"/>
    <w:semiHidden/>
    <w:unhideWhenUsed/>
    <w:qFormat/>
    <w:rsid w:val="00B31D3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Normal"/>
    <w:link w:val="Heading6Char"/>
    <w:uiPriority w:val="9"/>
    <w:semiHidden/>
    <w:unhideWhenUsed/>
    <w:qFormat/>
    <w:rsid w:val="00B31D3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Normal"/>
    <w:link w:val="Heading7Char"/>
    <w:uiPriority w:val="9"/>
    <w:semiHidden/>
    <w:unhideWhenUsed/>
    <w:qFormat/>
    <w:rsid w:val="00B31D3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Normal"/>
    <w:link w:val="Heading8Char"/>
    <w:uiPriority w:val="9"/>
    <w:semiHidden/>
    <w:unhideWhenUsed/>
    <w:qFormat/>
    <w:rsid w:val="00B31D3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Normal"/>
    <w:link w:val="Heading9Char"/>
    <w:uiPriority w:val="9"/>
    <w:semiHidden/>
    <w:unhideWhenUsed/>
    <w:qFormat/>
    <w:rsid w:val="00B31D39"/>
    <w:pPr>
      <w:keepNext/>
      <w:keepLines/>
      <w:spacing w:after="0"/>
      <w:outlineLvl w:val="8"/>
    </w:pPr>
    <w:rPr>
      <w:rFonts w:cstheme="majorBidi" w:eastAsiaTheme="majorEastAsia"/>
      <w:color w:themeColor="text1" w:themeTint="D8" w:val="272727"/>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B31D39"/>
    <w:rPr>
      <w:rFonts w:ascii="Calibri" w:cstheme="majorBidi" w:eastAsiaTheme="majorEastAsia" w:hAnsi="Calibri"/>
      <w:b/>
      <w:color w:themeColor="accent1" w:themeShade="BF" w:val="0F4761"/>
      <w:sz w:val="40"/>
      <w:szCs w:val="40"/>
    </w:rPr>
  </w:style>
  <w:style w:customStyle="1" w:styleId="Heading2Char" w:type="character">
    <w:name w:val="Heading 2 Char"/>
    <w:basedOn w:val="DefaultParagraphFont"/>
    <w:link w:val="Heading2"/>
    <w:uiPriority w:val="9"/>
    <w:rsid w:val="00FA1C42"/>
    <w:rPr>
      <w:rFonts w:ascii="Calibri" w:cstheme="majorBidi" w:eastAsiaTheme="majorEastAsia" w:hAnsi="Calibri"/>
      <w:b/>
      <w:color w:themeColor="accent1" w:themeShade="BF" w:val="0F4761"/>
      <w:sz w:val="32"/>
      <w:szCs w:val="32"/>
    </w:rPr>
  </w:style>
  <w:style w:customStyle="1" w:styleId="Heading3Char" w:type="character">
    <w:name w:val="Heading 3 Char"/>
    <w:basedOn w:val="DefaultParagraphFont"/>
    <w:link w:val="Heading3"/>
    <w:uiPriority w:val="9"/>
    <w:rsid w:val="00FA1C42"/>
    <w:rPr>
      <w:rFonts w:ascii="Calibri" w:cs="Times New Roman (Headings CS)" w:eastAsiaTheme="majorEastAsia" w:hAnsi="Calibri"/>
      <w:b/>
      <w:color w:themeColor="accent1" w:themeShade="BF" w:val="0F4761"/>
      <w:sz w:val="28"/>
      <w:szCs w:val="28"/>
    </w:rPr>
  </w:style>
  <w:style w:customStyle="1" w:styleId="Heading4Char" w:type="character">
    <w:name w:val="Heading 4 Char"/>
    <w:basedOn w:val="DefaultParagraphFont"/>
    <w:link w:val="Heading4"/>
    <w:uiPriority w:val="9"/>
    <w:semiHidden/>
    <w:rsid w:val="00B31D3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B31D3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B31D3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B31D3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B31D3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B31D39"/>
    <w:rPr>
      <w:rFonts w:cstheme="majorBidi" w:eastAsiaTheme="majorEastAsia"/>
      <w:color w:themeColor="text1" w:themeTint="D8" w:val="272727"/>
    </w:rPr>
  </w:style>
  <w:style w:styleId="Title" w:type="paragraph">
    <w:name w:val="Title"/>
    <w:basedOn w:val="Normal"/>
    <w:next w:val="Normal"/>
    <w:link w:val="TitleChar"/>
    <w:uiPriority w:val="10"/>
    <w:qFormat/>
    <w:rsid w:val="00B31D39"/>
    <w:pPr>
      <w:spacing w:after="80" w:line="240" w:lineRule="auto"/>
      <w:contextualSpacing/>
    </w:pPr>
    <w:rPr>
      <w:rFonts w:asciiTheme="majorHAnsi" w:cstheme="majorBidi" w:eastAsiaTheme="majorEastAsia" w:hAnsiTheme="majorHAnsi"/>
      <w:spacing w:val="-10"/>
      <w:kern w:val="28"/>
      <w:sz w:val="56"/>
      <w:szCs w:val="56"/>
    </w:rPr>
  </w:style>
  <w:style w:customStyle="1" w:styleId="TitleChar" w:type="character">
    <w:name w:val="Title Char"/>
    <w:basedOn w:val="DefaultParagraphFont"/>
    <w:link w:val="Title"/>
    <w:uiPriority w:val="10"/>
    <w:rsid w:val="00B31D39"/>
    <w:rPr>
      <w:rFonts w:asciiTheme="majorHAnsi" w:cstheme="majorBidi" w:eastAsiaTheme="majorEastAsia" w:hAnsiTheme="majorHAnsi"/>
      <w:spacing w:val="-10"/>
      <w:kern w:val="28"/>
      <w:sz w:val="56"/>
      <w:szCs w:val="56"/>
    </w:rPr>
  </w:style>
  <w:style w:styleId="Subtitle" w:type="paragraph">
    <w:name w:val="Subtitle"/>
    <w:basedOn w:val="Normal"/>
    <w:next w:val="Normal"/>
    <w:link w:val="SubtitleChar"/>
    <w:uiPriority w:val="11"/>
    <w:qFormat/>
    <w:rsid w:val="00B31D39"/>
    <w:pPr>
      <w:numPr>
        <w:ilvl w:val="1"/>
      </w:numPr>
    </w:pPr>
    <w:rPr>
      <w:rFonts w:cstheme="majorBidi" w:eastAsiaTheme="majorEastAsia"/>
      <w:color w:themeColor="text1" w:themeTint="A6" w:val="595959"/>
      <w:spacing w:val="15"/>
      <w:sz w:val="28"/>
      <w:szCs w:val="28"/>
    </w:rPr>
  </w:style>
  <w:style w:customStyle="1" w:styleId="SubtitleChar" w:type="character">
    <w:name w:val="Subtitle Char"/>
    <w:basedOn w:val="DefaultParagraphFont"/>
    <w:link w:val="Subtitle"/>
    <w:uiPriority w:val="11"/>
    <w:rsid w:val="00B31D39"/>
    <w:rPr>
      <w:rFonts w:cstheme="majorBidi" w:eastAsiaTheme="majorEastAsia"/>
      <w:color w:themeColor="text1" w:themeTint="A6" w:val="595959"/>
      <w:spacing w:val="15"/>
      <w:sz w:val="28"/>
      <w:szCs w:val="28"/>
    </w:rPr>
  </w:style>
  <w:style w:styleId="Quote" w:type="paragraph">
    <w:name w:val="Quote"/>
    <w:basedOn w:val="Normal"/>
    <w:next w:val="Normal"/>
    <w:link w:val="QuoteChar"/>
    <w:uiPriority w:val="29"/>
    <w:qFormat/>
    <w:rsid w:val="00B31D39"/>
    <w:pPr>
      <w:spacing w:before="160"/>
      <w:jc w:val="center"/>
    </w:pPr>
    <w:rPr>
      <w:i/>
      <w:iCs/>
      <w:color w:themeColor="text1" w:themeTint="BF" w:val="404040"/>
    </w:rPr>
  </w:style>
  <w:style w:customStyle="1" w:styleId="QuoteChar" w:type="character">
    <w:name w:val="Quote Char"/>
    <w:basedOn w:val="DefaultParagraphFont"/>
    <w:link w:val="Quote"/>
    <w:uiPriority w:val="29"/>
    <w:rsid w:val="00B31D39"/>
    <w:rPr>
      <w:i/>
      <w:iCs/>
      <w:color w:themeColor="text1" w:themeTint="BF" w:val="404040"/>
    </w:rPr>
  </w:style>
  <w:style w:styleId="ListParagraph" w:type="paragraph">
    <w:name w:val="List Paragraph"/>
    <w:basedOn w:val="Normal"/>
    <w:uiPriority w:val="34"/>
    <w:qFormat/>
    <w:rsid w:val="00B31D39"/>
    <w:pPr>
      <w:ind w:left="720"/>
      <w:contextualSpacing/>
    </w:pPr>
  </w:style>
  <w:style w:styleId="IntenseEmphasis" w:type="character">
    <w:name w:val="Intense Emphasis"/>
    <w:basedOn w:val="DefaultParagraphFont"/>
    <w:uiPriority w:val="21"/>
    <w:qFormat/>
    <w:rsid w:val="00B31D39"/>
    <w:rPr>
      <w:i/>
      <w:iCs/>
      <w:color w:themeColor="accent1" w:themeShade="BF" w:val="0F4761"/>
    </w:rPr>
  </w:style>
  <w:style w:styleId="IntenseQuote" w:type="paragraph">
    <w:name w:val="Intense Quote"/>
    <w:basedOn w:val="Normal"/>
    <w:next w:val="Normal"/>
    <w:link w:val="IntenseQuoteChar"/>
    <w:uiPriority w:val="30"/>
    <w:qFormat/>
    <w:rsid w:val="00B31D39"/>
    <w:pPr>
      <w:pBdr>
        <w:top w:color="0F4761" w:space="10" w:sz="4" w:themeColor="accent1" w:themeShade="BF" w:val="single"/>
        <w:bottom w:color="0F4761" w:space="10" w:sz="4" w:themeColor="accent1" w:themeShade="BF" w:val="single"/>
      </w:pBdr>
      <w:spacing w:after="360" w:before="360"/>
      <w:ind w:left="864" w:right="864"/>
      <w:jc w:val="center"/>
    </w:pPr>
    <w:rPr>
      <w:i/>
      <w:iCs/>
      <w:color w:themeColor="accent1" w:themeShade="BF" w:val="0F4761"/>
    </w:rPr>
  </w:style>
  <w:style w:customStyle="1" w:styleId="IntenseQuoteChar" w:type="character">
    <w:name w:val="Intense Quote Char"/>
    <w:basedOn w:val="DefaultParagraphFont"/>
    <w:link w:val="IntenseQuote"/>
    <w:uiPriority w:val="30"/>
    <w:rsid w:val="00B31D39"/>
    <w:rPr>
      <w:i/>
      <w:iCs/>
      <w:color w:themeColor="accent1" w:themeShade="BF" w:val="0F4761"/>
    </w:rPr>
  </w:style>
  <w:style w:styleId="IntenseReference" w:type="character">
    <w:name w:val="Intense Reference"/>
    <w:basedOn w:val="DefaultParagraphFont"/>
    <w:uiPriority w:val="32"/>
    <w:qFormat/>
    <w:rsid w:val="00B31D39"/>
    <w:rPr>
      <w:b/>
      <w:bCs/>
      <w:smallCaps/>
      <w:color w:themeColor="accent1" w:themeShade="BF" w:val="0F4761"/>
      <w:spacing w:val="5"/>
    </w:rPr>
  </w:style>
  <w:style w:customStyle="1" w:styleId="CurrentList1" w:type="numbering">
    <w:name w:val="Current List1"/>
    <w:uiPriority w:val="99"/>
    <w:rsid w:val="00B31D39"/>
    <w:pPr>
      <w:numPr>
        <w:numId w:val="2"/>
      </w:numPr>
    </w:pPr>
  </w:style>
  <w:style w:customStyle="1" w:styleId="CurrentList2" w:type="numbering">
    <w:name w:val="Current List2"/>
    <w:uiPriority w:val="99"/>
    <w:rsid w:val="00B31D39"/>
    <w:pPr>
      <w:numPr>
        <w:numId w:val="4"/>
      </w:numPr>
    </w:pPr>
  </w:style>
  <w:style w:styleId="TableGrid" w:type="table">
    <w:name w:val="Table Grid"/>
    <w:basedOn w:val="TableNormal"/>
    <w:uiPriority w:val="39"/>
    <w:rsid w:val="008852B8"/>
    <w:pPr>
      <w:spacing w:after="0" w:line="240" w:lineRule="auto"/>
    </w:pPr>
    <w:rPr>
      <w:rFonts w:ascii="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rPr>
        <w:b/>
      </w:rPr>
      <w:tblPr/>
      <w:tcPr>
        <w:shd w:color="auto" w:fill="A5C9EB" w:themeFill="text2" w:themeFillTint="40" w:val="clear"/>
      </w:tcPr>
    </w:tblStylePr>
  </w:style>
  <w:style w:styleId="PlainTable1" w:type="table">
    <w:name w:val="Plain Table 1"/>
    <w:basedOn w:val="TableNormal"/>
    <w:uiPriority w:val="41"/>
    <w:rsid w:val="00E820F7"/>
    <w:pPr>
      <w:spacing w:after="0" w:line="240" w:lineRule="auto"/>
    </w:pPr>
    <w:tblPr>
      <w:tblStyleRowBandSize w:val="1"/>
      <w:tblStyleColBandSize w:val="1"/>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tblStylePr w:type="firstRow">
      <w:rPr>
        <w:b/>
        <w:bCs/>
      </w:rPr>
    </w:tblStylePr>
    <w:tblStylePr w:type="lastRow">
      <w:rPr>
        <w:b/>
        <w:bCs/>
      </w:rPr>
      <w:tblPr/>
      <w:tcPr>
        <w:tcBorders>
          <w:top w:color="BFBFBF" w:space="0" w:sz="4" w:themeColor="background1" w:themeShade="BF" w:val="double"/>
        </w:tcBorders>
      </w:tcPr>
    </w:tblStylePr>
    <w:tblStylePr w:type="firstCol">
      <w:rPr>
        <w:b/>
        <w:bCs/>
      </w:rPr>
    </w:tblStylePr>
    <w:tblStylePr w:type="lastCol">
      <w:rPr>
        <w:b/>
        <w:bCs/>
      </w:rPr>
    </w:tblStylePr>
    <w:tblStylePr w:type="band1Vert">
      <w:tblPr/>
      <w:tcPr>
        <w:shd w:color="auto" w:fill="F2F2F2" w:themeFill="background1" w:themeFillShade="F2" w:val="clear"/>
      </w:tcPr>
    </w:tblStylePr>
    <w:tblStylePr w:type="band1Horz">
      <w:tblPr/>
      <w:tcPr>
        <w:shd w:color="auto" w:fill="F2F2F2" w:themeFill="background1" w:themeFillShade="F2" w:val="clear"/>
      </w:tcPr>
    </w:tblStylePr>
  </w:style>
  <w:style w:customStyle="1" w:styleId="SourceCode" w:type="paragraph">
    <w:name w:val="Source Code"/>
    <w:basedOn w:val="Normal"/>
    <w:pPr>
      <w:wordWrap w:val="0"/>
    </w:p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Pr>
      <w:i/>
      <w:color w:val="60A0B0"/>
    </w:rPr>
  </w:style>
  <w:style w:customStyle="1" w:styleId="DocumentationTok" w:type="character">
    <w:name w:val="DocumentationTok"/>
    <w:rPr>
      <w:i/>
      <w:color w:val="BA2121"/>
    </w:rPr>
  </w:style>
  <w:style w:customStyle="1" w:styleId="AnnotationTok" w:type="character">
    <w:name w:val="AnnotationTok"/>
    <w:rPr>
      <w:b/>
      <w:i/>
      <w:color w:val="60A0B0"/>
    </w:rPr>
  </w:style>
  <w:style w:customStyle="1" w:styleId="CommentVarTok" w:type="character">
    <w:name w:val="CommentVarTok"/>
    <w:rPr>
      <w:b/>
      <w:i/>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Pr>
      <w:b/>
      <w:i/>
      <w:color w:val="60A0B0"/>
    </w:rPr>
  </w:style>
  <w:style w:customStyle="1" w:styleId="WarningTok" w:type="character">
    <w:name w:val="WarningTok"/>
    <w:rPr>
      <w:b/>
      <w:i/>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7" Type="http://schemas.openxmlformats.org/officeDocument/2006/relationships/footnotes" Target="footnotes.xml"/><Relationship Id="rId8" Type="http://schemas.openxmlformats.org/officeDocument/2006/relationships/comments" Target="comments.xml"/><Relationship Id="rId30" Type="http://schemas.openxmlformats.org/officeDocument/2006/relationships/image" Target="media/rId30.png"/><Relationship Id="rId33" Type="http://schemas.openxmlformats.org/officeDocument/2006/relationships/image" Target="media/rId33.png"/><Relationship Id="rId36" Type="http://schemas.openxmlformats.org/officeDocument/2006/relationships/image" Target="media/rId36.png"/><Relationship Id="rId39" Type="http://schemas.openxmlformats.org/officeDocument/2006/relationships/image" Target="media/rId39.png"/><Relationship Id="rId23" Type="http://schemas.openxmlformats.org/officeDocument/2006/relationships/image" Target="media/rId23.png"/><Relationship Id="rId20" Type="http://schemas.openxmlformats.org/officeDocument/2006/relationships/image" Target="media/rId20.png"/><Relationship Id="rId44" Type="http://schemas.openxmlformats.org/officeDocument/2006/relationships/hyperlink" Target="https://www.inrs.fr/publications/bdd/fichetox/fiche.html?refINRS=FICHETOX_195" TargetMode="External"/><Relationship Id="rId47" Type="http://schemas.openxmlformats.org/officeDocument/2006/relationships/hyperlink" Target="https://www.inrs.fr/publications/bdd/fichetox/fiche.html?refINRS=FICHETOX_195&amp;section=VLEPMesurage" TargetMode="External"/><Relationship Id="rId52" Type="http://schemas.openxmlformats.org/officeDocument/2006/relationships/hyperlink" Target="https://www.inrs.fr/publications/bdd/fichetox/fiche.html?refINRS=FICHETOX_195&amp;section=bibliographieAuteurs" TargetMode="External"/><Relationship Id="rId46" Type="http://schemas.openxmlformats.org/officeDocument/2006/relationships/hyperlink" Target="https://www.inrs.fr/publications/bdd/fichetox/fiche.html?refINRS=FICHETOX_195&amp;section=caracteristiques" TargetMode="External"/><Relationship Id="rId45" Type="http://schemas.openxmlformats.org/officeDocument/2006/relationships/hyperlink" Target="https://www.inrs.fr/publications/bdd/fichetox/fiche.html?refINRS=FICHETOX_195&amp;section=generalites" TargetMode="External"/><Relationship Id="rId48" Type="http://schemas.openxmlformats.org/officeDocument/2006/relationships/hyperlink" Target="https://www.inrs.fr/publications/bdd/fichetox/fiche.html?refINRS=FICHETOX_195&amp;section=incendieExplosion" TargetMode="External"/><Relationship Id="rId49" Type="http://schemas.openxmlformats.org/officeDocument/2006/relationships/hyperlink" Target="https://www.inrs.fr/publications/bdd/fichetox/fiche.html?refINRS=FICHETOX_195&amp;section=pathologieToxicologie" TargetMode="External"/><Relationship Id="rId51" Type="http://schemas.openxmlformats.org/officeDocument/2006/relationships/hyperlink" Target="https://www.inrs.fr/publications/bdd/fichetox/fiche.html?refINRS=FICHETOX_195&amp;section=recommandations" TargetMode="External"/><Relationship Id="rId50" Type="http://schemas.openxmlformats.org/officeDocument/2006/relationships/hyperlink" Target="https://www.inrs.fr/publications/bdd/fichetox/fiche.html?refINRS=FICHETOX_195&amp;section=reglementation" TargetMode="External"/><Relationship Id="rId57" Type="http://schemas.openxmlformats.org/officeDocument/2006/relationships/hyperlink" Target="https://www.inrs.fr/publications/bdd/fichetox/fiche.html?refINRS=FICHETOX_55" TargetMode="External"/><Relationship Id="rId60" Type="http://schemas.openxmlformats.org/officeDocument/2006/relationships/hyperlink" Target="https://www.inrs.fr/publications/bdd/fichetox/fiche.html?refINRS=FICHETOX_55&amp;section=VLEPMesurage" TargetMode="External"/><Relationship Id="rId65" Type="http://schemas.openxmlformats.org/officeDocument/2006/relationships/hyperlink" Target="https://www.inrs.fr/publications/bdd/fichetox/fiche.html?refINRS=FICHETOX_55&amp;section=bibliographieAuteurs" TargetMode="External"/><Relationship Id="rId59" Type="http://schemas.openxmlformats.org/officeDocument/2006/relationships/hyperlink" Target="https://www.inrs.fr/publications/bdd/fichetox/fiche.html?refINRS=FICHETOX_55&amp;section=caracteristiques" TargetMode="External"/><Relationship Id="rId58" Type="http://schemas.openxmlformats.org/officeDocument/2006/relationships/hyperlink" Target="https://www.inrs.fr/publications/bdd/fichetox/fiche.html?refINRS=FICHETOX_55&amp;section=generalites" TargetMode="External"/><Relationship Id="rId61" Type="http://schemas.openxmlformats.org/officeDocument/2006/relationships/hyperlink" Target="https://www.inrs.fr/publications/bdd/fichetox/fiche.html?refINRS=FICHETOX_55&amp;section=incendieExplosion" TargetMode="External"/><Relationship Id="rId62" Type="http://schemas.openxmlformats.org/officeDocument/2006/relationships/hyperlink" Target="https://www.inrs.fr/publications/bdd/fichetox/fiche.html?refINRS=FICHETOX_55&amp;section=pathologieToxicologie" TargetMode="External"/><Relationship Id="rId64" Type="http://schemas.openxmlformats.org/officeDocument/2006/relationships/hyperlink" Target="https://www.inrs.fr/publications/bdd/fichetox/fiche.html?refINRS=FICHETOX_55&amp;section=recommandations" TargetMode="External"/><Relationship Id="rId63" Type="http://schemas.openxmlformats.org/officeDocument/2006/relationships/hyperlink" Target="https://www.inrs.fr/publications/bdd/fichetox/fiche.html?refINRS=FICHETOX_55&amp;section=reglementation" TargetMode="External"/></Relationships>
</file>

<file path=word/_rels/footnotes.xml.rels><?xml version='1.0' encoding='UTF-8' standalone='yes'?>
<Relationships xmlns="http://schemas.openxmlformats.org/package/2006/relationships"><Relationship Id="rId44" Type="http://schemas.openxmlformats.org/officeDocument/2006/relationships/hyperlink" Target="https://www.inrs.fr/publications/bdd/fichetox/fiche.html?refINRS=FICHETOX_195" TargetMode="External"/><Relationship Id="rId47" Type="http://schemas.openxmlformats.org/officeDocument/2006/relationships/hyperlink" Target="https://www.inrs.fr/publications/bdd/fichetox/fiche.html?refINRS=FICHETOX_195&amp;section=VLEPMesurage" TargetMode="External"/><Relationship Id="rId52" Type="http://schemas.openxmlformats.org/officeDocument/2006/relationships/hyperlink" Target="https://www.inrs.fr/publications/bdd/fichetox/fiche.html?refINRS=FICHETOX_195&amp;section=bibliographieAuteurs" TargetMode="External"/><Relationship Id="rId46" Type="http://schemas.openxmlformats.org/officeDocument/2006/relationships/hyperlink" Target="https://www.inrs.fr/publications/bdd/fichetox/fiche.html?refINRS=FICHETOX_195&amp;section=caracteristiques" TargetMode="External"/><Relationship Id="rId45" Type="http://schemas.openxmlformats.org/officeDocument/2006/relationships/hyperlink" Target="https://www.inrs.fr/publications/bdd/fichetox/fiche.html?refINRS=FICHETOX_195&amp;section=generalites" TargetMode="External"/><Relationship Id="rId48" Type="http://schemas.openxmlformats.org/officeDocument/2006/relationships/hyperlink" Target="https://www.inrs.fr/publications/bdd/fichetox/fiche.html?refINRS=FICHETOX_195&amp;section=incendieExplosion" TargetMode="External"/><Relationship Id="rId49" Type="http://schemas.openxmlformats.org/officeDocument/2006/relationships/hyperlink" Target="https://www.inrs.fr/publications/bdd/fichetox/fiche.html?refINRS=FICHETOX_195&amp;section=pathologieToxicologie" TargetMode="External"/><Relationship Id="rId51" Type="http://schemas.openxmlformats.org/officeDocument/2006/relationships/hyperlink" Target="https://www.inrs.fr/publications/bdd/fichetox/fiche.html?refINRS=FICHETOX_195&amp;section=recommandations" TargetMode="External"/><Relationship Id="rId50" Type="http://schemas.openxmlformats.org/officeDocument/2006/relationships/hyperlink" Target="https://www.inrs.fr/publications/bdd/fichetox/fiche.html?refINRS=FICHETOX_195&amp;section=reglementation" TargetMode="External"/><Relationship Id="rId57" Type="http://schemas.openxmlformats.org/officeDocument/2006/relationships/hyperlink" Target="https://www.inrs.fr/publications/bdd/fichetox/fiche.html?refINRS=FICHETOX_55" TargetMode="External"/><Relationship Id="rId60" Type="http://schemas.openxmlformats.org/officeDocument/2006/relationships/hyperlink" Target="https://www.inrs.fr/publications/bdd/fichetox/fiche.html?refINRS=FICHETOX_55&amp;section=VLEPMesurage" TargetMode="External"/><Relationship Id="rId65" Type="http://schemas.openxmlformats.org/officeDocument/2006/relationships/hyperlink" Target="https://www.inrs.fr/publications/bdd/fichetox/fiche.html?refINRS=FICHETOX_55&amp;section=bibliographieAuteurs" TargetMode="External"/><Relationship Id="rId59" Type="http://schemas.openxmlformats.org/officeDocument/2006/relationships/hyperlink" Target="https://www.inrs.fr/publications/bdd/fichetox/fiche.html?refINRS=FICHETOX_55&amp;section=caracteristiques" TargetMode="External"/><Relationship Id="rId58" Type="http://schemas.openxmlformats.org/officeDocument/2006/relationships/hyperlink" Target="https://www.inrs.fr/publications/bdd/fichetox/fiche.html?refINRS=FICHETOX_55&amp;section=generalites" TargetMode="External"/><Relationship Id="rId61" Type="http://schemas.openxmlformats.org/officeDocument/2006/relationships/hyperlink" Target="https://www.inrs.fr/publications/bdd/fichetox/fiche.html?refINRS=FICHETOX_55&amp;section=incendieExplosion" TargetMode="External"/><Relationship Id="rId62" Type="http://schemas.openxmlformats.org/officeDocument/2006/relationships/hyperlink" Target="https://www.inrs.fr/publications/bdd/fichetox/fiche.html?refINRS=FICHETOX_55&amp;section=pathologieToxicologie" TargetMode="External"/><Relationship Id="rId64" Type="http://schemas.openxmlformats.org/officeDocument/2006/relationships/hyperlink" Target="https://www.inrs.fr/publications/bdd/fichetox/fiche.html?refINRS=FICHETOX_55&amp;section=recommandations" TargetMode="External"/><Relationship Id="rId63" Type="http://schemas.openxmlformats.org/officeDocument/2006/relationships/hyperlink" Target="https://www.inrs.fr/publications/bdd/fichetox/fiche.html?refINRS=FICHETOX_55&amp;section=reglement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28</Words>
  <Characters>129</Characters>
  <Application>Microsoft Office Word</Application>
  <DocSecurity>0</DocSecurity>
  <Lines>11</Lines>
  <Paragraphs>13</Paragraphs>
  <ScaleCrop>false</ScaleCrop>
  <Company/>
  <LinksUpToDate>false</LinksUpToDate>
  <CharactersWithSpaces>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2026-04-02T02:41:59Z</dcterms:created>
  <dcterms:modified xsi:type="dcterms:W3CDTF">2026-04-02T02:41:59Z</dcterms:modified>
</cp:coreProperties>
</file>

<file path=docProps/custom.xml><?xml version="1.0" encoding="utf-8"?>
<Properties xmlns="http://schemas.openxmlformats.org/officeDocument/2006/custom-properties" xmlns:vt="http://schemas.openxmlformats.org/officeDocument/2006/docPropsVTypes"/>
</file>