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everydayspraydesodorisantrosok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everydayspraydesodorisantrosok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4" w:name="X5be1bfe5c874ac6c97d7d0f0c1ec6a8d5a6e19f"/>
    <w:p>
      <w:pPr>
        <w:pStyle w:val="Heading1"/>
      </w:pPr>
      <w:r>
        <w:t xml:space="preserve">Analyse des dangers : everydayspraydesodorisantrosok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everydayspraydesodorisantrosok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(sous forme d’aérosol), 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privée ; aérosol « Air refresher »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2014-11-19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2014-11-19. Elle a donc 11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2.1</w:t>
      </w:r>
    </w:p>
    <w:p>
      <w:pPr>
        <w:pStyle w:val="Compact"/>
        <w:numPr>
          <w:ilvl w:val="0"/>
          <w:numId w:val="1005"/>
        </w:numPr>
      </w:pPr>
      <w:r>
        <w:t xml:space="preserve">RID : 2.1</w:t>
      </w:r>
    </w:p>
    <w:p>
      <w:pPr>
        <w:pStyle w:val="Compact"/>
        <w:numPr>
          <w:ilvl w:val="0"/>
          <w:numId w:val="1005"/>
        </w:numPr>
      </w:pPr>
      <w:r>
        <w:t xml:space="preserve">ADN : 2</w:t>
      </w:r>
    </w:p>
    <w:p>
      <w:pPr>
        <w:pStyle w:val="Compact"/>
        <w:numPr>
          <w:ilvl w:val="0"/>
          <w:numId w:val="1005"/>
        </w:numPr>
      </w:pPr>
      <w:r>
        <w:t xml:space="preserve">IMDG : 2.1 – Flammable gases</w:t>
      </w:r>
    </w:p>
    <w:p>
      <w:pPr>
        <w:pStyle w:val="Compact"/>
        <w:numPr>
          <w:ilvl w:val="0"/>
          <w:numId w:val="1005"/>
        </w:numPr>
      </w:pPr>
      <w:r>
        <w:t xml:space="preserve">IATA : AEROSOLS, FLAMMABLE</w:t>
      </w:r>
    </w:p>
    <w:p>
      <w:pPr>
        <w:pStyle w:val="Compact"/>
        <w:numPr>
          <w:ilvl w:val="0"/>
          <w:numId w:val="1005"/>
        </w:numPr>
      </w:pPr>
      <w:r>
        <w:t xml:space="preserve">UN : 1950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les vêtements contaminés.</w:t>
      </w:r>
      <w:r>
        <w:t xml:space="preserve"> </w:t>
      </w:r>
      <w:r>
        <w:t xml:space="preserve">• Laver les parties touchées avec précaution et abondamment à l’eau et au savon.</w:t>
      </w:r>
      <w:r>
        <w:t xml:space="preserve"> </w:t>
      </w:r>
      <w:r>
        <w:t xml:space="preserve">• En cas de doute ou de symptômes, demander un avis médical.</w:t>
      </w:r>
    </w:p>
    <w:p>
      <w:pPr>
        <w:pStyle w:val="BodyText"/>
      </w:pPr>
      <w:r>
        <w:t xml:space="preserve">eyes : • Rincer soigneusement et abondamment les yeux avec une douche oculaire ou de l’eau.</w:t>
      </w:r>
      <w:r>
        <w:t xml:space="preserve"> </w:t>
      </w:r>
      <w:r>
        <w:t xml:space="preserve">• En cas de doute ou de symptômes, demander un avis médical.</w:t>
      </w:r>
    </w:p>
    <w:p>
      <w:pPr>
        <w:pStyle w:val="BodyText"/>
      </w:pPr>
      <w:r>
        <w:t xml:space="preserve">ingestion : • Rincer la bouche abondamment à l’eau.</w:t>
      </w:r>
      <w:r>
        <w:t xml:space="preserve"> </w:t>
      </w:r>
      <w:r>
        <w:t xml:space="preserve">• Consulter un médecin.</w:t>
      </w:r>
    </w:p>
    <w:p>
      <w:pPr>
        <w:pStyle w:val="BodyText"/>
      </w:pPr>
      <w:r>
        <w:t xml:space="preserve">inhalation : • Transporter la personne à l’extérieur.</w:t>
      </w:r>
      <w:r>
        <w:t xml:space="preserve"> </w:t>
      </w:r>
      <w:r>
        <w:t xml:space="preserve">• La maintenir dans une position où elle peut respirer confortablement.</w:t>
      </w:r>
      <w:r>
        <w:t xml:space="preserve"> </w:t>
      </w:r>
      <w:r>
        <w:t xml:space="preserve">• En cas de doute ou de symptômes, demander un avis médical.</w:t>
      </w:r>
    </w:p>
    <w:p>
      <w:r>
        <w:br w:type="page"/>
      </w:r>
    </w:p>
    <w:bookmarkEnd w:id="34"/>
    <w:bookmarkStart w:id="4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n-butane"/>
    <w:p>
      <w:pPr>
        <w:pStyle w:val="Heading3"/>
      </w:pPr>
      <w:r>
        <w:t xml:space="preserve">n-Butane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106-97-8</w:t>
      </w:r>
    </w:p>
    <w:p>
      <w:pPr>
        <w:pStyle w:val="Compact"/>
        <w:numPr>
          <w:ilvl w:val="0"/>
          <w:numId w:val="1006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74-98-6</w:t>
      </w:r>
    </w:p>
    <w:p>
      <w:pPr>
        <w:pStyle w:val="Compact"/>
        <w:numPr>
          <w:ilvl w:val="0"/>
          <w:numId w:val="1008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75-28-5</w:t>
      </w:r>
    </w:p>
    <w:p>
      <w:pPr>
        <w:pStyle w:val="Compact"/>
        <w:numPr>
          <w:ilvl w:val="0"/>
          <w:numId w:val="1010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1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End w:id="41"/>
    <w:bookmarkStart w:id="4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Gants résistants aux produits chimiques, testés EN 374. • Matériau : NBR (caoutchouc nitrile). • Épaisseur : BTT &gt; 8 h (≈ &gt; 0,3 mm). • Le modèle doit être choisi en fonction des concentrations et quantités de substances chimiques présentes.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oculaire • Utiliser une protection oculaire adaptée, conforme à la norme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Gants résistants aux produits chimiques, testés EN 374. • Matériau : NBR (caoutchouc nitrile). • Épaisseur : BTT &gt; 8 h (≈ &gt; 0,3 mm). • Le modèle doit être choisi en fonction des concentrations et quantités de substances chimiques présentes.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• Pas d’exigence de protection respiratoire dans les conditions normales. • En cas de ventilation insuffisante, porter un appareil respiratoire approprié. • Options disponibles :  – Demi-masque (norme EN 140).  – Masque complet (norme EN 136). • Type de filtre : filtre de type A (norme EN 141).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Porter un vêtement de protection approprié. (Aucune spécification de matériau ou de type n’est fournie dans le document.)</w:t>
            </w:r>
          </w:p>
        </w:tc>
      </w:tr>
    </w:tbl>
    <w:bookmarkEnd w:id="42"/>
    <w:bookmarkStart w:id="4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Assurer une aération suffisante. - Utiliser l’équipement de protection individuel requis (voir paragraphe 8). - Ne pas respirer les vapeurs/aérosols. - Éviter tout contact avec la peau, les yeux et les vêtements. - Prendre toutes précautions pour éviter de mélanger avec des matières incompatibles (voir également section 10). - Ne pas entrer en contact avec le sol, l’eau de surface et la nappe phréatique. - Tenir à l’écart de la chaleur, des surfaces chaudes, des étincelles, des flammes nues et de toute autre source d’inflammation. - Ne pas fumer. - Récipient sous pression : peut éclater sous l’effet de la chaleur. - Maintenir une bonne hygiène industrielle : se laver les mains avant les pauses et aussitôt après la manipulation du produit. - Ne pas manger, ne pas boire et ne pas fumer pendant l’utilisation. - Conserver à l’écart des aliments et boissons, y compris ceux pour animaux. - Stocker les vêtements de travail séparément. - Enlever les vêtements contaminés et les laver avant réutilisation.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 : - Conserver les récipients bien fermés dans un endroit frais et bien ventilé. - Éloigner toute source d’ignition. - Conserver à une température ne dépassant pas 50 °C. - Protéger du rayonnement solaire. - Ne pas entreposer près de ou avec les matériaux incompatibles repris dans la section 10. - Matériaux d’emballage : conserver/stockeur uniquement dans le récipient d’origine.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privée ; aérosol « Air refresher »</w:t>
            </w:r>
          </w:p>
        </w:tc>
      </w:tr>
    </w:tbl>
    <w:bookmarkEnd w:id="43"/>
    <w:bookmarkEnd w:id="4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2026-04-02T02:45:24Z</dcterms:created>
  <dcterms:modified xsi:type="dcterms:W3CDTF">2026-04-02T02:45:24Z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