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everydayultralessiveliquiderosok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everydayultralessiveliquiderosok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1" w:name="X05784b64c5279205f786a7a7e2bc93f89395422"/>
    <w:p>
      <w:pPr>
        <w:pStyle w:val="Heading1"/>
      </w:pPr>
      <w:r>
        <w:t xml:space="preserve">Analyse des dangers : everydayultralessiveliquiderosok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everydayultralessiveliquiderosok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 visqueux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8,00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Pour le traitement ou le lavage du linge.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2017-12-26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2017-12-26. Elle a donc 8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3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3"/>
        </w:numPr>
      </w:pPr>
      <w:r>
        <w:t xml:space="preserve">EUH208</w:t>
      </w:r>
      <w:r>
        <w:t xml:space="preserve"> </w:t>
      </w:r>
      <w:r>
        <w:t xml:space="preserve">Contient (nom de la substance sensibilisante). Peut produire une réaction allergique.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P101</w:t>
      </w:r>
      <w:r>
        <w:t xml:space="preserve"> </w:t>
      </w:r>
      <w:r>
        <w:t xml:space="preserve">En cas de consultation d’un médecin, garder à disposition le récipient ou l’étiquette.</w:t>
      </w:r>
    </w:p>
    <w:p>
      <w:pPr>
        <w:numPr>
          <w:ilvl w:val="0"/>
          <w:numId w:val="1004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4"/>
        </w:numPr>
      </w:pPr>
      <w:r>
        <w:t xml:space="preserve">P103</w:t>
      </w:r>
      <w:r>
        <w:t xml:space="preserve"> </w:t>
      </w:r>
      <w:r>
        <w:t xml:space="preserve">Lire l’étiquette avant utilisation.</w:t>
      </w:r>
    </w:p>
    <w:p>
      <w:pPr>
        <w:numPr>
          <w:ilvl w:val="0"/>
          <w:numId w:val="1004"/>
        </w:numPr>
      </w:pPr>
      <w:r>
        <w:t xml:space="preserve">P264</w:t>
      </w:r>
      <w:r>
        <w:t xml:space="preserve"> </w:t>
      </w:r>
      <w:r>
        <w:t xml:space="preserve">Se laver … soigneusement après manipulation.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P302+P352</w:t>
      </w:r>
      <w:r>
        <w:t xml:space="preserve"> </w:t>
      </w:r>
      <w:r>
        <w:t xml:space="preserve">EN CAS DE CONTACT AVEC LA PEAU: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P310</w:t>
      </w:r>
      <w:r>
        <w:t xml:space="preserve"> </w:t>
      </w:r>
      <w:r>
        <w:t xml:space="preserve">P310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pas disponible</w:t>
      </w:r>
    </w:p>
    <w:p>
      <w:pPr>
        <w:pStyle w:val="Compact"/>
        <w:numPr>
          <w:ilvl w:val="0"/>
          <w:numId w:val="1005"/>
        </w:numPr>
      </w:pPr>
      <w:r>
        <w:t xml:space="preserve">RID : pas disponible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pas disponible</w:t>
      </w:r>
    </w:p>
    <w:p>
      <w:pPr>
        <w:pStyle w:val="Compact"/>
        <w:numPr>
          <w:ilvl w:val="0"/>
          <w:numId w:val="1005"/>
        </w:numPr>
      </w:pPr>
      <w:r>
        <w:t xml:space="preserve">IATA : pas disponible</w:t>
      </w:r>
    </w:p>
    <w:p>
      <w:pPr>
        <w:pStyle w:val="Compact"/>
        <w:numPr>
          <w:ilvl w:val="0"/>
          <w:numId w:val="1005"/>
        </w:numPr>
      </w:pPr>
      <w:r>
        <w:t xml:space="preserve">UN : pas disponible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Bien laver la peau avec de l’eau. Consulter un médecin si l’irritation persiste après le lavage.</w:t>
      </w:r>
    </w:p>
    <w:p>
      <w:pPr>
        <w:pStyle w:val="BodyText"/>
      </w:pPr>
      <w:r>
        <w:t xml:space="preserve">eyes : Consulter immédiatement un médecin. Rincer immédiatement et abondamment avec de l’eau pendant au moins 15 minutes. Enlever les lentilles de contact si la victime en porte et bien écarquiller l’œil.</w:t>
      </w:r>
    </w:p>
    <w:p>
      <w:pPr>
        <w:pStyle w:val="BodyText"/>
      </w:pPr>
      <w:r>
        <w:t xml:space="preserve">ingestion : Rincer soigneusement la bouche. NE PAS faire vomir. Consulter un médecin.</w:t>
      </w:r>
    </w:p>
    <w:p>
      <w:pPr>
        <w:pStyle w:val="BodyText"/>
      </w:pPr>
      <w:r>
        <w:t xml:space="preserve">inhalation : Transporter la personne à l’air frais.</w:t>
      </w:r>
    </w:p>
    <w:p>
      <w:r>
        <w:br w:type="page"/>
      </w:r>
    </w:p>
    <w:bookmarkEnd w:id="37"/>
    <w:bookmarkStart w:id="48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9" w:name="mea-c10-13-alkyl-benzenesulfonate"/>
    <w:p>
      <w:pPr>
        <w:pStyle w:val="Heading3"/>
      </w:pPr>
      <w:r>
        <w:t xml:space="preserve">MEA-C10-13 ALKYL BENZENESULFONATE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85480-55-3</w:t>
      </w:r>
    </w:p>
    <w:p>
      <w:pPr>
        <w:pStyle w:val="Compact"/>
        <w:numPr>
          <w:ilvl w:val="0"/>
          <w:numId w:val="1006"/>
        </w:numPr>
      </w:pPr>
      <w:r>
        <w:t xml:space="preserve">N° EINECS : 287-335-8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8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8"/>
    <w:bookmarkEnd w:id="39"/>
    <w:bookmarkStart w:id="41" w:name="sodium-laureth-sulfate"/>
    <w:p>
      <w:pPr>
        <w:pStyle w:val="Heading3"/>
      </w:pPr>
      <w:r>
        <w:t xml:space="preserve">SODIUM LAURETH SULFATE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68891-38-3</w:t>
      </w:r>
    </w:p>
    <w:p>
      <w:pPr>
        <w:pStyle w:val="Compact"/>
        <w:numPr>
          <w:ilvl w:val="0"/>
          <w:numId w:val="1007"/>
        </w:numPr>
      </w:pPr>
      <w:r>
        <w:t xml:space="preserve">N° EINECS : 500-234-8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0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0"/>
    <w:bookmarkEnd w:id="41"/>
    <w:bookmarkStart w:id="43" w:name="c14-15-pareth-7"/>
    <w:p>
      <w:pPr>
        <w:pStyle w:val="Heading3"/>
      </w:pPr>
      <w:r>
        <w:t xml:space="preserve">C14-15 PARETH-7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68951-67-7</w:t>
      </w:r>
    </w:p>
    <w:p>
      <w:pPr>
        <w:pStyle w:val="Compact"/>
        <w:numPr>
          <w:ilvl w:val="0"/>
          <w:numId w:val="1008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3.0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2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2"/>
    <w:bookmarkEnd w:id="43"/>
    <w:bookmarkStart w:id="45" w:name="c12-18-pareth-7"/>
    <w:p>
      <w:pPr>
        <w:pStyle w:val="Heading3"/>
      </w:pPr>
      <w:r>
        <w:t xml:space="preserve">C12-18 PARETH-7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68213-23-0</w:t>
      </w:r>
    </w:p>
    <w:p>
      <w:pPr>
        <w:pStyle w:val="Compact"/>
        <w:numPr>
          <w:ilvl w:val="0"/>
          <w:numId w:val="1009"/>
        </w:numPr>
      </w:pPr>
      <w:r>
        <w:t xml:space="preserve">N° EINECS : 500-201-8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3.0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4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4"/>
    <w:bookmarkEnd w:id="45"/>
    <w:bookmarkStart w:id="47" w:name="mea-cocoate"/>
    <w:p>
      <w:pPr>
        <w:pStyle w:val="Heading3"/>
      </w:pPr>
      <w:r>
        <w:t xml:space="preserve">MEA-COCOATE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66071-80-5</w:t>
      </w:r>
    </w:p>
    <w:p>
      <w:pPr>
        <w:pStyle w:val="Compact"/>
        <w:numPr>
          <w:ilvl w:val="0"/>
          <w:numId w:val="1010"/>
        </w:numPr>
      </w:pPr>
      <w:r>
        <w:t xml:space="preserve">N° EINECS : 266-105-0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6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6"/>
    <w:bookmarkEnd w:id="47"/>
    <w:bookmarkEnd w:id="48"/>
    <w:bookmarkStart w:id="49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Porter des gants de protection appropriés en cas de risque de contact avec la peau.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sécurité / écran facial Porter des lunettes de sécurité approuvées ou un masque facial.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 Porter des vêtements appropriés pour éviter tout contact prévisible avec la peau.</w:t>
            </w:r>
          </w:p>
        </w:tc>
      </w:tr>
    </w:tbl>
    <w:bookmarkEnd w:id="49"/>
    <w:bookmarkStart w:id="50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Éviter tout contact oculaire. Se laver les mains soigneusement après manipulation. Respecter les consignes d’utilisation. Assurer une ventilation efficace. Éviter le contact avec la peau.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le produit à l’écart des matières incompatibles (acides forts, comburants forts, bases fortes) et le garder dans son récipient d’origine hermétiquement fermé.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Pour le traitement ou le lavage du linge.</w:t>
            </w:r>
          </w:p>
        </w:tc>
      </w:tr>
    </w:tbl>
    <w:bookmarkEnd w:id="50"/>
    <w:bookmarkEnd w:id="51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2026-04-02T02:48:56Z</dcterms:created>
  <dcterms:modified xsi:type="dcterms:W3CDTF">2026-04-02T02:48:56Z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