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finavestana80bok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finavestana80bok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finavestana80bok"/>
    <w:p>
      <w:pPr>
        <w:pStyle w:val="Heading1"/>
      </w:pPr>
      <w:r>
        <w:t xml:space="preserve">Analyse des dangers : finavestana80bok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finavestana80bok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identifiée : huile minérale blanche.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2020-01-14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2020-01-14.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non réglementé</w:t>
      </w:r>
    </w:p>
    <w:p>
      <w:pPr>
        <w:pStyle w:val="Compact"/>
        <w:numPr>
          <w:ilvl w:val="0"/>
          <w:numId w:val="1005"/>
        </w:numPr>
      </w:pPr>
      <w:r>
        <w:t xml:space="preserve">RID : non réglementé</w:t>
      </w:r>
    </w:p>
    <w:p>
      <w:pPr>
        <w:pStyle w:val="Compact"/>
        <w:numPr>
          <w:ilvl w:val="0"/>
          <w:numId w:val="1005"/>
        </w:numPr>
      </w:pPr>
      <w:r>
        <w:t xml:space="preserve">ADN : non réglementé</w:t>
      </w:r>
    </w:p>
    <w:p>
      <w:pPr>
        <w:pStyle w:val="Compact"/>
        <w:numPr>
          <w:ilvl w:val="0"/>
          <w:numId w:val="1005"/>
        </w:numPr>
      </w:pPr>
      <w:r>
        <w:t xml:space="preserve">IMDG : non réglementé</w:t>
      </w:r>
    </w:p>
    <w:p>
      <w:pPr>
        <w:pStyle w:val="Compact"/>
        <w:numPr>
          <w:ilvl w:val="0"/>
          <w:numId w:val="1005"/>
        </w:numPr>
      </w:pPr>
      <w:r>
        <w:t xml:space="preserve">IATA : non réglementé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au savon et abondamment à l’eau.</w:t>
      </w:r>
      <w:r>
        <w:t xml:space="preserve"> </w:t>
      </w:r>
      <w:r>
        <w:t xml:space="preserve">Enlever les vêtements et chaussures contaminés.</w:t>
      </w:r>
      <w:r>
        <w:t xml:space="preserve"> </w:t>
      </w:r>
      <w:r>
        <w:t xml:space="preserve">Laver les vêtements contaminés avant réutilisation.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Après un premier rinçage, enlever toute lentille de contact.</w:t>
      </w:r>
      <w:r>
        <w:t xml:space="preserve"> </w:t>
      </w:r>
      <w:r>
        <w:t xml:space="preserve">Continuer à rincer pendant au moins 15 minutes.</w:t>
      </w:r>
      <w:r>
        <w:t xml:space="preserve"> </w:t>
      </w:r>
      <w:r>
        <w:t xml:space="preserve">Maintenir l’œil bien ouvert pendant le rinçage.</w:t>
      </w:r>
    </w:p>
    <w:p>
      <w:pPr>
        <w:pStyle w:val="BodyText"/>
      </w:pPr>
      <w:r>
        <w:t xml:space="preserve">ingestion : Nettoyer la bouche avec de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Ne jamais faire avaler une personne inconsciente.</w:t>
      </w:r>
      <w:r>
        <w:t xml:space="preserve"> </w:t>
      </w:r>
      <w:r>
        <w:t xml:space="preserve">Appeler immédiatement un médecin ou un centre antipoison.</w:t>
      </w:r>
    </w:p>
    <w:p>
      <w:pPr>
        <w:pStyle w:val="BodyText"/>
      </w:pPr>
      <w:r>
        <w:t xml:space="preserve">inhalation : Évacuer la victime à l’air frais.</w:t>
      </w:r>
      <w:r>
        <w:t xml:space="preserve"> </w:t>
      </w:r>
      <w:r>
        <w:t xml:space="preserve">Laisser la victime au repos dans une position confortable pour respirer.</w:t>
      </w:r>
      <w:r>
        <w:t xml:space="preserve"> </w:t>
      </w:r>
      <w:r>
        <w:t xml:space="preserve">En cas d’arrêt respiratoire, pratiquer la respiration artificielle.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huile-minérale-blanche-pétrole"/>
    <w:p>
      <w:pPr>
        <w:pStyle w:val="Heading3"/>
      </w:pPr>
      <w:r>
        <w:t xml:space="preserve">huile minérale blanche (pétrole)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8042-47-5</w:t>
      </w:r>
    </w:p>
    <w:p>
      <w:pPr>
        <w:pStyle w:val="Compact"/>
        <w:numPr>
          <w:ilvl w:val="0"/>
          <w:numId w:val="1006"/>
        </w:numPr>
      </w:pPr>
      <w:r>
        <w:t xml:space="preserve">N° EINECS : 232-455-8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 Gants résistants aux hydrocarbures. • Matériaux : caoutchouc fluoré ou caoutchouc nitrile. • Conformité : normes EN 420 et EN 374. • Durée de protection : 480 minutes (8 h). • Épaisseur minimale : 0,38 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 Porter des lunettes de sécurité avec protections latérales. • Norme :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 Gants résistants aux hydrocarbures. • Matériaux : caoutchouc fluoré ou caoutchouc nitrile. • Conformité : normes EN 420 et EN 374. • Durée de protection : 480 minutes (8 h). • Épaisseur minimale : 0,38 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 Aucune exigence de masque dans les conditions normales d’utilisation. • En cas de concentrations supérieures aux limites d’exposition, porter un appareil respiratoire avec filtre combiné vapeurs/particules (norme EN 14387). • Type : A/P2.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 Porter des vêtements de protection appropriés. • Chaussures ou bottes de sécurité. • Vêtements à manches longues. • Type : 4/6 (selon la classification des EPI).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 équipement de protection individuelle (voir rubrique 8). - Utiliser uniquement dans des zones bien ventilées. - Ne pas respirer les vapeurs ou le brouillard de pulvérisation. - Éviter le contact avec la peau, les yeux et les vêtements. - Ne pas manger, boire ou fumer pendant l’utilisation. - Se laver les mains avant les pauses et immédiatement après manipulation du produit. - Nettoyer régulièrement l’équipement, la zone de travail et les vêtements. - Ne pas utiliser de produit abrasif, de solvant ou de carburant. - Ne pas s’essuyer les mains avec des chiffons qui ont servi au nettoyage. - Ne pas placer les chiffons imbibés de produit dans les poches des vêtements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l’écart des aliments et boissons, y compris ceux pour animaux. - Stocker dans un bac de rétention. - Maintenir le récipient fermé de manière étanche. - Conserver de préférence dans l’emballage d’origine ; si l’emballage est changé, reporter les indications de l’étiquette réglementaire sur le nouvel emballage. - Ne pas retirer les étiquettes de danger des récipients (mêmes vides). - Concevoir les installations pour éviter les projections accidentelles de produit (ex. rupture de joint) sur des carters chauds et des contacts électriques. - Stocker à température ambiante. - Protéger de l’humidité.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identifiée : huile minérale blanche.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2026-04-02T02:58:17Z</dcterms:created>
  <dcterms:modified xsi:type="dcterms:W3CDTF">2026-04-02T02:58:17Z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