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finishselrosok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Reckitt Benckiser Austria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finishselrosok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finishselrosok"/>
    <w:p>
      <w:pPr>
        <w:pStyle w:val="Heading1"/>
      </w:pPr>
      <w:r>
        <w:t xml:space="preserve">Analyse des dangers : finishselrosok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finishselrosok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Reckitt Benckiser Austria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 : produits de lavage et de nettoyage (y compris produits à base de solvants).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2016-09-27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2016-09-27.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Rincer la peau contaminée à grande eau.</w:t>
      </w:r>
      <w:r>
        <w:t xml:space="preserve">- Retirer les vêtements et les chaussures contaminés.</w:t>
      </w:r>
      <w:r>
        <w:t xml:space="preserve">- Consulter un médecin si des symptômes se développent.</w:t>
      </w:r>
    </w:p>
    <w:p>
      <w:pPr>
        <w:pStyle w:val="BodyText"/>
      </w:pPr>
      <w:r>
        <w:t xml:space="preserve">eyes : - Rincer immédiatement les yeux à grande eau.</w:t>
      </w:r>
      <w:r>
        <w:t xml:space="preserve">- Soulever de temps en temps les paupières supérieures et inférieures.</w:t>
      </w:r>
      <w:r>
        <w:t xml:space="preserve">- Vérifier si la victime porte des verres de contact et, le cas échéant, les lui enlever.</w:t>
      </w:r>
      <w:r>
        <w:t xml:space="preserve">- En cas d’irritation, consulter un médecin.</w:t>
      </w:r>
    </w:p>
    <w:p>
      <w:pPr>
        <w:pStyle w:val="BodyText"/>
      </w:pPr>
      <w:r>
        <w:t xml:space="preserve">ingestion : - Rincer la bouche avec de l’eau.</w:t>
      </w:r>
      <w:r>
        <w:t xml:space="preserve">- Transporter la victime à l’extérieur et la maintenir au repos dans une position où elle peut respirer confortablement.</w:t>
      </w:r>
      <w:r>
        <w:t xml:space="preserve">- Si la personne est consciente, lui faire boire de petites quantités d’eau.</w:t>
      </w:r>
      <w:r>
        <w:t xml:space="preserve">- Ne pas faire vomir sauf indication contraire d’un professionnel de santé.</w:t>
      </w:r>
      <w:r>
        <w:t xml:space="preserve">- Consulter un médecin si des symptômes se développent.</w:t>
      </w:r>
    </w:p>
    <w:p>
      <w:pPr>
        <w:pStyle w:val="BodyText"/>
      </w:pPr>
      <w:r>
        <w:t xml:space="preserve">inhalation : - Transporter la victime à l’extérieur.</w:t>
      </w:r>
      <w:r>
        <w:t xml:space="preserve">- La maintenir au repos dans une position où elle peut respirer confortablement.</w:t>
      </w:r>
      <w:r>
        <w:t xml:space="preserve">- Consulter un médecin si des symptômes se développent.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odium-chloride"/>
    <w:p>
      <w:pPr>
        <w:pStyle w:val="Heading3"/>
      </w:pPr>
      <w:r>
        <w:t xml:space="preserve">Sodium 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7647-14-5</w:t>
      </w:r>
    </w:p>
    <w:p>
      <w:pPr>
        <w:pStyle w:val="Compact"/>
        <w:numPr>
          <w:ilvl w:val="0"/>
          <w:numId w:val="1004"/>
        </w:numPr>
      </w:pPr>
      <w:r>
        <w:t xml:space="preserve">N° EINECS : 231-598-3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60.0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des mains • Port obligatoire en tout temps lors de la manipulation de produits chimiques. • Gants imperméables et résistants aux produits chimiques. • Conformité à une norme approuvée (non précisée dans le texte, mais exigée).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Utilisation d’une protection oculaire conforme à une norme approuvée. • Recommandé dès qu’une évaluation du risque indique la nécessité d’éviter l’exposition aux projections de liquides, aux fines particules pulvérisées, aux gaz ou aux poussières. • En l’absence d’une exigence de protection supérieure, porter des lunettes de sécurité avec protections latérales.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des mains • Port obligatoire en tout temps lors de la manipulation de produits chimiques. • Gants imperméables et résistants aux produits chimiques. • Conformité à une norme approuvée (non précisée dans le texte, mais exigée).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Port d’un appareil de protection respiratoire avec filtre à particules. • Le filtre doit être parfaitement ajusté et conforme à une norme en vigueur. • Le choix de l’appareil doit se baser sur les niveaux d’exposition prévus ou connus, les dangers du produit et les limites d’utilisation sans danger de l’appareil retenu.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Équipement de protection personnel pour le corps à choisir en fonction de la tâche et des risques encourus. • Recommandé de le faire valider par un spécialiste avant manipulation. • En plus des gants et lunettes, chaussures adéquates et toute autre mesure de protection corporelle doivent être déterminées en fonction de l’opération et approuvées par un spécialiste.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Revêtir un équipement de protection individuelle approprié (voir Section 8). - Il est interdit de manger, boire ou fumer dans les endroits où ce produit est manipulé, entreposé ou mis en œuvre. - Il est recommandé au personnel de se laver les mains et la figure avant de manger, boire ou fumer. - Retirer les vêtements contaminés et les équipements de protection avant d’entrer dans un lieu de restauration.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conformément à la réglementation locale. - Stocker dans le récipient d’origine à l’abri de la lumière directe du soleil dans un endroit sec, frais et bien ventilé, à l’écart des matériaux incompatibles (cf. la Section 10). - Garder le récipient hermétiquement fermé lorsque le produit n’est pas utilisé. - Les récipients ayant été ouverts doivent être refermés avec soin et maintenus en position verticale afin d’éviter les fuites. - Ne pas stocker dans des conteneurs non étiquetés. - Utiliser un récipient approprié pour éviter toute contamination du milieu ambiant.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Utilisations identifiées : produits de lavage et de nettoyage (y compris produits à base de solvants).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2026-04-02T03:01:31Z</dcterms:created>
  <dcterms:modified xsi:type="dcterms:W3CDTF">2026-04-02T03:01:31Z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