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flexlubex-treme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VEIDEC AB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flexlubex-treme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5" w:name="analyse-des-dangers-flexlubex-treme"/>
    <w:p>
      <w:pPr>
        <w:pStyle w:val="Heading1"/>
      </w:pPr>
      <w:r>
        <w:t xml:space="preserve">Analyse des dangers : flexlubex-treme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flexlubex-treme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VEIDEC AB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 pour chaînes, fils et câbles. Lubrifiant.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2019-03-01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2019-03-01.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H222</w:t>
      </w:r>
      <w:r>
        <w:t xml:space="preserve"> </w:t>
      </w:r>
      <w:r>
        <w:t xml:space="preserve">Aérosol extrêmement inflammable.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2.1</w:t>
      </w:r>
    </w:p>
    <w:p>
      <w:pPr>
        <w:pStyle w:val="Compact"/>
        <w:numPr>
          <w:ilvl w:val="0"/>
          <w:numId w:val="1005"/>
        </w:numPr>
      </w:pPr>
      <w:r>
        <w:t xml:space="preserve">RID : 2.1</w:t>
      </w:r>
    </w:p>
    <w:p>
      <w:pPr>
        <w:pStyle w:val="Compact"/>
        <w:numPr>
          <w:ilvl w:val="0"/>
          <w:numId w:val="1005"/>
        </w:numPr>
      </w:pPr>
      <w:r>
        <w:t xml:space="preserve">ADN : 2.1</w:t>
      </w:r>
    </w:p>
    <w:p>
      <w:pPr>
        <w:pStyle w:val="Compact"/>
        <w:numPr>
          <w:ilvl w:val="0"/>
          <w:numId w:val="1005"/>
        </w:numPr>
      </w:pPr>
      <w:r>
        <w:t xml:space="preserve">IMDG : 2.1</w:t>
      </w:r>
    </w:p>
    <w:p>
      <w:pPr>
        <w:pStyle w:val="Compact"/>
        <w:numPr>
          <w:ilvl w:val="0"/>
          <w:numId w:val="1005"/>
        </w:numPr>
      </w:pPr>
      <w:r>
        <w:t xml:space="preserve">IATA : 2.1</w:t>
      </w:r>
    </w:p>
    <w:p>
      <w:pPr>
        <w:pStyle w:val="Compact"/>
        <w:numPr>
          <w:ilvl w:val="0"/>
          <w:numId w:val="1005"/>
        </w:numPr>
      </w:pPr>
      <w:r>
        <w:t xml:space="preserve">UN : 1950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Rincer soigneusement à l’eau pendant plusieurs minutes.</w:t>
      </w:r>
    </w:p>
    <w:p>
      <w:pPr>
        <w:pStyle w:val="BodyText"/>
      </w:pPr>
      <w:r>
        <w:t xml:space="preserve">ingestion : Risque minimal en raison de la petite taille de l’emballage ; aucune mesure spécifique n’est indiquée.</w:t>
      </w:r>
    </w:p>
    <w:p>
      <w:pPr>
        <w:pStyle w:val="BodyText"/>
      </w:pPr>
      <w:r>
        <w:t xml:space="preserve">inhalation : Fournir de l’air frais.</w:t>
      </w:r>
    </w:p>
    <w:p>
      <w:r>
        <w:br w:type="page"/>
      </w:r>
    </w:p>
    <w:bookmarkEnd w:id="34"/>
    <w:bookmarkStart w:id="5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huile-minérale"/>
    <w:p>
      <w:pPr>
        <w:pStyle w:val="Heading3"/>
      </w:pPr>
      <w:r>
        <w:t xml:space="preserve">Huile minérale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8042-47-5</w:t>
      </w:r>
    </w:p>
    <w:p>
      <w:pPr>
        <w:pStyle w:val="Compact"/>
        <w:numPr>
          <w:ilvl w:val="0"/>
          <w:numId w:val="1006"/>
        </w:numPr>
      </w:pPr>
      <w:r>
        <w:t xml:space="preserve">N° EINECS : 232-455-8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80.0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106-97-8</w:t>
      </w:r>
    </w:p>
    <w:p>
      <w:pPr>
        <w:pStyle w:val="Compact"/>
        <w:numPr>
          <w:ilvl w:val="0"/>
          <w:numId w:val="1008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74-98-6</w:t>
      </w:r>
    </w:p>
    <w:p>
      <w:pPr>
        <w:pStyle w:val="Compact"/>
        <w:numPr>
          <w:ilvl w:val="0"/>
          <w:numId w:val="1009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51" w:name="dioxyde-de-carbone"/>
    <w:p>
      <w:pPr>
        <w:pStyle w:val="Heading3"/>
      </w:pPr>
      <w:r>
        <w:t xml:space="preserve">Dioxyde de carbone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124-38-9</w:t>
      </w:r>
    </w:p>
    <w:p>
      <w:pPr>
        <w:pStyle w:val="Compact"/>
        <w:numPr>
          <w:ilvl w:val="0"/>
          <w:numId w:val="1010"/>
        </w:numPr>
      </w:pPr>
      <w:r>
        <w:t xml:space="preserve">N° EINECS : 204-696-9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1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5000.0 - VLE-8h (mg/m³) : 9131.0 - VLE-15min (ppm) : 30000.0 - VLE-15min (mg/m³) : 54784.0</w:t>
            </w:r>
          </w:p>
        </w:tc>
      </w:tr>
    </w:tbl>
    <w:bookmarkStart w:id="50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 n°238 - Dioxyde de carbone</w:t>
        </w:r>
      </w:hyperlink>
    </w:p>
    <w:p>
      <w:pPr>
        <w:numPr>
          <w:ilvl w:val="0"/>
          <w:numId w:val="1012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12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End w:id="52"/>
    <w:bookmarkStart w:id="5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nitrile • Temps de protection : &gt; 480 min • Épaisseur : 0,35 mm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Non requis dans les conditions d’utilisation normales.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Non requis dans les conditions d’utilisation normales.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Pas pertinent (aucune protection vestimentaire requise).</w:t>
            </w:r>
          </w:p>
        </w:tc>
      </w:tr>
    </w:tbl>
    <w:bookmarkEnd w:id="53"/>
    <w:bookmarkStart w:id="5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exposer la bombe aérosol aux rayons directs du soleil ou à des températures supérieures à 50 °C. - Entreposer dans le récipient original. - Entreposer à une température au-dessus du point de congélation. Incompatibilités à éviter - Éviter le contact avec des agents d’oxydation.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 pour chaînes, fils et câbles. Lubrifiant.</w:t>
            </w:r>
          </w:p>
        </w:tc>
      </w:tr>
    </w:tbl>
    <w:bookmarkEnd w:id="54"/>
    <w:bookmarkEnd w:id="5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1" Type="http://schemas.openxmlformats.org/officeDocument/2006/relationships/hyperlink" Target="https://www.inrs.fr/publications/bdd/fichetox/fiche.html?refINRS=FICHETOX_238" TargetMode="External"/><Relationship Id="rId44" Type="http://schemas.openxmlformats.org/officeDocument/2006/relationships/hyperlink" Target="https://www.inrs.fr/publications/bdd/fichetox/fiche.html?refINRS=FICHETOX_238&amp;section=VLEPMesurage" TargetMode="External"/><Relationship Id="rId49" Type="http://schemas.openxmlformats.org/officeDocument/2006/relationships/hyperlink" Target="https://www.inrs.fr/publications/bdd/fichetox/fiche.html?refINRS=FICHETOX_238&amp;section=bibliographieAuteurs" TargetMode="External"/><Relationship Id="rId43" Type="http://schemas.openxmlformats.org/officeDocument/2006/relationships/hyperlink" Target="https://www.inrs.fr/publications/bdd/fichetox/fiche.html?refINRS=FICHETOX_238&amp;section=caracteristiques" TargetMode="External"/><Relationship Id="rId42" Type="http://schemas.openxmlformats.org/officeDocument/2006/relationships/hyperlink" Target="https://www.inrs.fr/publications/bdd/fichetox/fiche.html?refINRS=FICHETOX_238&amp;section=generalites" TargetMode="External"/><Relationship Id="rId45" Type="http://schemas.openxmlformats.org/officeDocument/2006/relationships/hyperlink" Target="https://www.inrs.fr/publications/bdd/fichetox/fiche.html?refINRS=FICHETOX_238&amp;section=incendieExplosion" TargetMode="External"/><Relationship Id="rId46" Type="http://schemas.openxmlformats.org/officeDocument/2006/relationships/hyperlink" Target="https://www.inrs.fr/publications/bdd/fichetox/fiche.html?refINRS=FICHETOX_238&amp;section=pathologieToxicologie" TargetMode="External"/><Relationship Id="rId48" Type="http://schemas.openxmlformats.org/officeDocument/2006/relationships/hyperlink" Target="https://www.inrs.fr/publications/bdd/fichetox/fiche.html?refINRS=FICHETOX_238&amp;section=recommandations" TargetMode="External"/><Relationship Id="rId47" Type="http://schemas.openxmlformats.org/officeDocument/2006/relationships/hyperlink" Target="https://www.inrs.fr/publications/bdd/fichetox/fiche.html?refINRS=FICHETOX_23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1" Type="http://schemas.openxmlformats.org/officeDocument/2006/relationships/hyperlink" Target="https://www.inrs.fr/publications/bdd/fichetox/fiche.html?refINRS=FICHETOX_238" TargetMode="External"/><Relationship Id="rId44" Type="http://schemas.openxmlformats.org/officeDocument/2006/relationships/hyperlink" Target="https://www.inrs.fr/publications/bdd/fichetox/fiche.html?refINRS=FICHETOX_238&amp;section=VLEPMesurage" TargetMode="External"/><Relationship Id="rId49" Type="http://schemas.openxmlformats.org/officeDocument/2006/relationships/hyperlink" Target="https://www.inrs.fr/publications/bdd/fichetox/fiche.html?refINRS=FICHETOX_238&amp;section=bibliographieAuteurs" TargetMode="External"/><Relationship Id="rId43" Type="http://schemas.openxmlformats.org/officeDocument/2006/relationships/hyperlink" Target="https://www.inrs.fr/publications/bdd/fichetox/fiche.html?refINRS=FICHETOX_238&amp;section=caracteristiques" TargetMode="External"/><Relationship Id="rId42" Type="http://schemas.openxmlformats.org/officeDocument/2006/relationships/hyperlink" Target="https://www.inrs.fr/publications/bdd/fichetox/fiche.html?refINRS=FICHETOX_238&amp;section=generalites" TargetMode="External"/><Relationship Id="rId45" Type="http://schemas.openxmlformats.org/officeDocument/2006/relationships/hyperlink" Target="https://www.inrs.fr/publications/bdd/fichetox/fiche.html?refINRS=FICHETOX_238&amp;section=incendieExplosion" TargetMode="External"/><Relationship Id="rId46" Type="http://schemas.openxmlformats.org/officeDocument/2006/relationships/hyperlink" Target="https://www.inrs.fr/publications/bdd/fichetox/fiche.html?refINRS=FICHETOX_238&amp;section=pathologieToxicologie" TargetMode="External"/><Relationship Id="rId48" Type="http://schemas.openxmlformats.org/officeDocument/2006/relationships/hyperlink" Target="https://www.inrs.fr/publications/bdd/fichetox/fiche.html?refINRS=FICHETOX_238&amp;section=recommandations" TargetMode="External"/><Relationship Id="rId47" Type="http://schemas.openxmlformats.org/officeDocument/2006/relationships/hyperlink" Target="https://www.inrs.fr/publications/bdd/fichetox/fiche.html?refINRS=FICHETOX_23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2026-04-02T03:06:49Z</dcterms:created>
  <dcterms:modified xsi:type="dcterms:W3CDTF">2026-04-02T03:06:49Z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