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flowtecbwok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VEIDEC AB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flowtecbwok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analyse-des-dangers-flowtecbwok"/>
    <w:p>
      <w:pPr>
        <w:pStyle w:val="Heading1"/>
      </w:pPr>
      <w:r>
        <w:t xml:space="preserve">Analyse des dangers : flowtecbwok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flowtecbwok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VEIDEC AB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 (spray)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il ne s’agit pas d’une poudre fine - il ne s’agit pas d’une poudre - il ne s’agit pas de grains - il ne s’agit pas de granulés - il ne s’agit pas de pastilles - il ne s’agit pas d’un liquide visqueux - il ne s’agit pas d’une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pour chaînes, fils et câbles (PTFE)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2026-04-02.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2.1</w:t>
      </w:r>
    </w:p>
    <w:p>
      <w:pPr>
        <w:pStyle w:val="Compact"/>
        <w:numPr>
          <w:ilvl w:val="0"/>
          <w:numId w:val="1005"/>
        </w:numPr>
      </w:pPr>
      <w:r>
        <w:t xml:space="preserve">ADN : 2.1</w:t>
      </w:r>
    </w:p>
    <w:p>
      <w:pPr>
        <w:pStyle w:val="Compact"/>
        <w:numPr>
          <w:ilvl w:val="0"/>
          <w:numId w:val="1005"/>
        </w:numPr>
      </w:pPr>
      <w:r>
        <w:t xml:space="preserve">IMDG : 2.1</w:t>
      </w:r>
    </w:p>
    <w:p>
      <w:pPr>
        <w:pStyle w:val="Compact"/>
        <w:numPr>
          <w:ilvl w:val="0"/>
          <w:numId w:val="1005"/>
        </w:numPr>
      </w:pPr>
      <w:r>
        <w:t xml:space="preserve">IATA : 2.1</w:t>
      </w:r>
    </w:p>
    <w:p>
      <w:pPr>
        <w:pStyle w:val="Compact"/>
        <w:numPr>
          <w:ilvl w:val="0"/>
          <w:numId w:val="1005"/>
        </w:numPr>
      </w:pPr>
      <w:r>
        <w:t xml:space="preserve">UN : 1950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de l’eau et du savon.</w:t>
      </w:r>
    </w:p>
    <w:p>
      <w:pPr>
        <w:pStyle w:val="BodyText"/>
      </w:pPr>
      <w:r>
        <w:t xml:space="preserve">eyes : Rincer avec précaution à l’eau pendant plusieurs minutes.</w:t>
      </w:r>
    </w:p>
    <w:p>
      <w:pPr>
        <w:pStyle w:val="BodyText"/>
      </w:pPr>
      <w:r>
        <w:t xml:space="preserve">ingestion : Aucun risque majeur en raison de la petite taille de l’emballage ; aucune mesure spécifique n’est indiquée.</w:t>
      </w:r>
    </w:p>
    <w:p>
      <w:pPr>
        <w:pStyle w:val="BodyText"/>
      </w:pPr>
      <w:r>
        <w:t xml:space="preserve">inhalation : Fournir de l’air frais.</w:t>
      </w:r>
    </w:p>
    <w:p>
      <w:r>
        <w:br w:type="page"/>
      </w:r>
    </w:p>
    <w:bookmarkEnd w:id="34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huile-minérale"/>
    <w:p>
      <w:pPr>
        <w:pStyle w:val="Heading3"/>
      </w:pPr>
      <w:r>
        <w:t xml:space="preserve">Huile minérale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8042-47-5</w:t>
      </w:r>
    </w:p>
    <w:p>
      <w:pPr>
        <w:pStyle w:val="Compact"/>
        <w:numPr>
          <w:ilvl w:val="0"/>
          <w:numId w:val="1006"/>
        </w:numPr>
      </w:pPr>
      <w:r>
        <w:t xml:space="preserve">N° EINECS : 232-455-8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70.0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X2b09083c489a2cc8dd077f19d35d0cbc5b55e9a"/>
    <w:p>
      <w:pPr>
        <w:pStyle w:val="Heading3"/>
      </w:pPr>
      <w:r>
        <w:t xml:space="preserve">Hydrocarbure, C9-C10, n-alcanes, iso-alcanes, cyclique (&lt;0,1% benzène)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71-43-2</w:t>
      </w:r>
    </w:p>
    <w:p>
      <w:pPr>
        <w:pStyle w:val="Compact"/>
        <w:numPr>
          <w:ilvl w:val="0"/>
          <w:numId w:val="1008"/>
        </w:numPr>
      </w:pPr>
      <w:r>
        <w:t xml:space="preserve">N° EINECS : 927-241-2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1.0 - VLE-8h (mg/m³) : 3.25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n°49 - Benzène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Explosion[2, 3]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Start w:id="49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74-98-6</w:t>
      </w:r>
    </w:p>
    <w:p>
      <w:pPr>
        <w:pStyle w:val="Compact"/>
        <w:numPr>
          <w:ilvl w:val="0"/>
          <w:numId w:val="1011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2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8"/>
    <w:bookmarkEnd w:id="49"/>
    <w:bookmarkStart w:id="51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106-97-8</w:t>
      </w:r>
    </w:p>
    <w:p>
      <w:pPr>
        <w:pStyle w:val="Compact"/>
        <w:numPr>
          <w:ilvl w:val="0"/>
          <w:numId w:val="1013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5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0"/>
    <w:bookmarkEnd w:id="51"/>
    <w:bookmarkStart w:id="53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75-28-5</w:t>
      </w:r>
    </w:p>
    <w:p>
      <w:pPr>
        <w:pStyle w:val="Compact"/>
        <w:numPr>
          <w:ilvl w:val="0"/>
          <w:numId w:val="1015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6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52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équipement spécifique requis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Gants: nitrile, épaisseur ≥ 0,3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équipement spécifique requis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vêtement de protection particulier n’est mentionné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Bien ventiler.   Éviter l’accumulation de charges électrostatiques.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(Section 7.2) - Bombe aérosol : ne doit pas être exposée aux rayons directs du soleil ni à des températures supérieures à 50 °C. - Entreposer : dans le récipient original. - Mesures techniques et conditions de stockage : aucune prescription particulière.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pour chaînes, fils et câbles (PTFE)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7" Type="http://schemas.openxmlformats.org/officeDocument/2006/relationships/hyperlink" Target="https://www.inrs.fr/publications/bdd/fichetox/fiche.html?refINRS=FICHETOX_49" TargetMode="External"/><Relationship Id="rId40" Type="http://schemas.openxmlformats.org/officeDocument/2006/relationships/hyperlink" Target="https://www.inrs.fr/publications/bdd/fichetox/fiche.html?refINRS=FICHETOX_49&amp;section=VLEPMesurage" TargetMode="External"/><Relationship Id="rId45" Type="http://schemas.openxmlformats.org/officeDocument/2006/relationships/hyperlink" Target="https://www.inrs.fr/publications/bdd/fichetox/fiche.html?refINRS=FICHETOX_49&amp;section=bibliographieAuteurs" TargetMode="External"/><Relationship Id="rId39" Type="http://schemas.openxmlformats.org/officeDocument/2006/relationships/hyperlink" Target="https://www.inrs.fr/publications/bdd/fichetox/fiche.html?refINRS=FICHETOX_49&amp;section=caracteristiques" TargetMode="External"/><Relationship Id="rId38" Type="http://schemas.openxmlformats.org/officeDocument/2006/relationships/hyperlink" Target="https://www.inrs.fr/publications/bdd/fichetox/fiche.html?refINRS=FICHETOX_49&amp;section=generalites" TargetMode="External"/><Relationship Id="rId41" Type="http://schemas.openxmlformats.org/officeDocument/2006/relationships/hyperlink" Target="https://www.inrs.fr/publications/bdd/fichetox/fiche.html?refINRS=FICHETOX_49&amp;section=incendieExplosion" TargetMode="External"/><Relationship Id="rId42" Type="http://schemas.openxmlformats.org/officeDocument/2006/relationships/hyperlink" Target="https://www.inrs.fr/publications/bdd/fichetox/fiche.html?refINRS=FICHETOX_49&amp;section=pathologieToxicologie" TargetMode="External"/><Relationship Id="rId44" Type="http://schemas.openxmlformats.org/officeDocument/2006/relationships/hyperlink" Target="https://www.inrs.fr/publications/bdd/fichetox/fiche.html?refINRS=FICHETOX_49&amp;section=recommandations" TargetMode="External"/><Relationship Id="rId43" Type="http://schemas.openxmlformats.org/officeDocument/2006/relationships/hyperlink" Target="https://www.inrs.fr/publications/bdd/fichetox/fiche.html?refINRS=FICHETOX_49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7" Type="http://schemas.openxmlformats.org/officeDocument/2006/relationships/hyperlink" Target="https://www.inrs.fr/publications/bdd/fichetox/fiche.html?refINRS=FICHETOX_49" TargetMode="External"/><Relationship Id="rId40" Type="http://schemas.openxmlformats.org/officeDocument/2006/relationships/hyperlink" Target="https://www.inrs.fr/publications/bdd/fichetox/fiche.html?refINRS=FICHETOX_49&amp;section=VLEPMesurage" TargetMode="External"/><Relationship Id="rId45" Type="http://schemas.openxmlformats.org/officeDocument/2006/relationships/hyperlink" Target="https://www.inrs.fr/publications/bdd/fichetox/fiche.html?refINRS=FICHETOX_49&amp;section=bibliographieAuteurs" TargetMode="External"/><Relationship Id="rId39" Type="http://schemas.openxmlformats.org/officeDocument/2006/relationships/hyperlink" Target="https://www.inrs.fr/publications/bdd/fichetox/fiche.html?refINRS=FICHETOX_49&amp;section=caracteristiques" TargetMode="External"/><Relationship Id="rId38" Type="http://schemas.openxmlformats.org/officeDocument/2006/relationships/hyperlink" Target="https://www.inrs.fr/publications/bdd/fichetox/fiche.html?refINRS=FICHETOX_49&amp;section=generalites" TargetMode="External"/><Relationship Id="rId41" Type="http://schemas.openxmlformats.org/officeDocument/2006/relationships/hyperlink" Target="https://www.inrs.fr/publications/bdd/fichetox/fiche.html?refINRS=FICHETOX_49&amp;section=incendieExplosion" TargetMode="External"/><Relationship Id="rId42" Type="http://schemas.openxmlformats.org/officeDocument/2006/relationships/hyperlink" Target="https://www.inrs.fr/publications/bdd/fichetox/fiche.html?refINRS=FICHETOX_49&amp;section=pathologieToxicologie" TargetMode="External"/><Relationship Id="rId44" Type="http://schemas.openxmlformats.org/officeDocument/2006/relationships/hyperlink" Target="https://www.inrs.fr/publications/bdd/fichetox/fiche.html?refINRS=FICHETOX_49&amp;section=recommandations" TargetMode="External"/><Relationship Id="rId43" Type="http://schemas.openxmlformats.org/officeDocument/2006/relationships/hyperlink" Target="https://www.inrs.fr/publications/bdd/fichetox/fiche.html?refINRS=FICHETOX_49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2026-04-02T03:10:27Z</dcterms:created>
  <dcterms:modified xsi:type="dcterms:W3CDTF">2026-04-02T03:10:27Z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