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forever-acetonejodok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FOREVER PRODUCTS N.V.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forever-acetonejodok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2" w:name="analyse-des-dangers-forever-acetonejodok"/>
    <w:p>
      <w:pPr>
        <w:pStyle w:val="Heading1"/>
      </w:pPr>
      <w:r>
        <w:t xml:space="preserve">Analyse des dangers : forever-acetonejodok</w:t>
      </w:r>
    </w:p>
    <w:p>
      <w:pPr>
        <w:pStyle w:val="FirstParagraph"/>
      </w:pPr>
      <w:r>
        <w:t xml:space="preserve">Dans la suite, nous détaillons les dangers associés au produit</w:t>
      </w:r>
      <w:r>
        <w:t xml:space="preserve"> </w:t>
      </w:r>
      <w:r>
        <w:rPr>
          <w:b/>
          <w:bCs/>
        </w:rPr>
        <w:t xml:space="preserve">forever-acetonejodok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FOREVER PRODUCTS N.V.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fluide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Solvant.</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2018-08-30</w:t>
            </w:r>
          </w:p>
        </w:tc>
      </w:tr>
    </w:tbl>
    <w:p>
      <w:pPr>
        <w:pStyle w:val="BodyText"/>
      </w:pPr>
      <w:r>
        <w:t xml:space="preserve"> </w:t>
      </w:r>
      <w:r>
        <w:t xml:space="preserve">La FDS date du 2018-08-30. Elle a donc 7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H225</w:t>
      </w:r>
      <w:r>
        <w:t xml:space="preserve"> </w:t>
      </w:r>
      <w:r>
        <w:t xml:space="preserve">Liquide et vapeurs très inflammables.</w:t>
      </w:r>
    </w:p>
    <w:p>
      <w:pPr>
        <w:numPr>
          <w:ilvl w:val="0"/>
          <w:numId w:val="1003"/>
        </w:numPr>
      </w:pPr>
      <w:r>
        <w:t xml:space="preserve">H319</w:t>
      </w:r>
      <w:r>
        <w:t xml:space="preserve"> </w:t>
      </w:r>
      <w:r>
        <w:t xml:space="preserve">Provoque une sévère irritation des yeux.</w:t>
      </w:r>
    </w:p>
    <w:p>
      <w:pPr>
        <w:numPr>
          <w:ilvl w:val="0"/>
          <w:numId w:val="1003"/>
        </w:numPr>
      </w:pPr>
      <w:r>
        <w:t xml:space="preserve">H336</w:t>
      </w:r>
      <w:r>
        <w:t xml:space="preserve"> </w:t>
      </w:r>
      <w:r>
        <w:t xml:space="preserve">Peut provoquer somnolence ou vertiges.</w:t>
      </w:r>
    </w:p>
    <w:p>
      <w:pPr>
        <w:numPr>
          <w:ilvl w:val="0"/>
          <w:numId w:val="1003"/>
        </w:numPr>
      </w:pPr>
      <w:r>
        <w:t xml:space="preserve">EUH066</w:t>
      </w:r>
      <w:r>
        <w:t xml:space="preserve"> </w:t>
      </w:r>
      <w:r>
        <w:t xml:space="preserve">L’exposition répétée peut provoquer dessèchement ou gerçures de la peau.</w:t>
      </w:r>
    </w:p>
    <w:p>
      <w:pPr>
        <w:pStyle w:val="FirstParagraph"/>
      </w:pPr>
      <w:r>
        <w:rPr>
          <w:b/>
          <w:bCs/>
        </w:rPr>
        <w:t xml:space="preserve">Conseils de prudence</w:t>
      </w:r>
      <w:r>
        <w:t xml:space="preserve"> </w:t>
      </w:r>
      <w:r>
        <w:t xml:space="preserve">:</w:t>
      </w:r>
    </w:p>
    <w:p>
      <w:pPr>
        <w:numPr>
          <w:ilvl w:val="0"/>
          <w:numId w:val="1004"/>
        </w:numPr>
      </w:pPr>
      <w:r>
        <w:t xml:space="preserve">P101</w:t>
      </w:r>
      <w:r>
        <w:t xml:space="preserve"> </w:t>
      </w:r>
      <w:r>
        <w:t xml:space="preserve">En cas de consultation d’un médecin, garder à disposition le récipient ou l’étiquette.</w:t>
      </w:r>
    </w:p>
    <w:p>
      <w:pPr>
        <w:numPr>
          <w:ilvl w:val="0"/>
          <w:numId w:val="1004"/>
        </w:numPr>
      </w:pPr>
      <w:r>
        <w:t xml:space="preserve">P102</w:t>
      </w:r>
      <w:r>
        <w:t xml:space="preserve"> </w:t>
      </w:r>
      <w:r>
        <w:t xml:space="preserve">Tenir hors de portée des enfants.</w:t>
      </w:r>
    </w:p>
    <w:p>
      <w:pPr>
        <w:numPr>
          <w:ilvl w:val="0"/>
          <w:numId w:val="1004"/>
        </w:numPr>
      </w:pPr>
      <w:r>
        <w:t xml:space="preserve">P210</w:t>
      </w:r>
      <w:r>
        <w:t xml:space="preserve"> </w:t>
      </w:r>
      <w:r>
        <w:t xml:space="preserve">P210</w:t>
      </w:r>
    </w:p>
    <w:p>
      <w:pPr>
        <w:numPr>
          <w:ilvl w:val="0"/>
          <w:numId w:val="1004"/>
        </w:numPr>
      </w:pPr>
      <w:r>
        <w:t xml:space="preserve">P271</w:t>
      </w:r>
      <w:r>
        <w:t xml:space="preserve"> </w:t>
      </w:r>
      <w:r>
        <w:t xml:space="preserve">Utiliser seulement en plein air ou dans un endroit bien ventilé.</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P312</w:t>
      </w:r>
      <w:r>
        <w:t xml:space="preserve"> </w:t>
      </w:r>
      <w:r>
        <w:t xml:space="preserve">P312</w:t>
      </w:r>
    </w:p>
    <w:p>
      <w:pPr>
        <w:numPr>
          <w:ilvl w:val="0"/>
          <w:numId w:val="1004"/>
        </w:numPr>
      </w:pPr>
      <w:r>
        <w:t xml:space="preserve">P405</w:t>
      </w:r>
      <w:r>
        <w:t xml:space="preserve"> </w:t>
      </w:r>
      <w:r>
        <w:t xml:space="preserve">Garder sous clef.</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3</w:t>
      </w:r>
    </w:p>
    <w:p>
      <w:pPr>
        <w:pStyle w:val="Compact"/>
        <w:numPr>
          <w:ilvl w:val="0"/>
          <w:numId w:val="1005"/>
        </w:numPr>
      </w:pPr>
      <w:r>
        <w:t xml:space="preserve">RID : 3</w:t>
      </w:r>
    </w:p>
    <w:p>
      <w:pPr>
        <w:pStyle w:val="Compact"/>
        <w:numPr>
          <w:ilvl w:val="0"/>
          <w:numId w:val="1005"/>
        </w:numPr>
      </w:pPr>
      <w:r>
        <w:t xml:space="preserve">ADN : pas disponible</w:t>
      </w:r>
    </w:p>
    <w:p>
      <w:pPr>
        <w:pStyle w:val="Compact"/>
        <w:numPr>
          <w:ilvl w:val="0"/>
          <w:numId w:val="1005"/>
        </w:numPr>
      </w:pPr>
      <w:r>
        <w:t xml:space="preserve">IMDG : 3</w:t>
      </w:r>
    </w:p>
    <w:p>
      <w:pPr>
        <w:pStyle w:val="Compact"/>
        <w:numPr>
          <w:ilvl w:val="0"/>
          <w:numId w:val="1005"/>
        </w:numPr>
      </w:pPr>
      <w:r>
        <w:t xml:space="preserve">IATA : 3</w:t>
      </w:r>
    </w:p>
    <w:p>
      <w:pPr>
        <w:pStyle w:val="Compact"/>
        <w:numPr>
          <w:ilvl w:val="0"/>
          <w:numId w:val="1005"/>
        </w:numPr>
      </w:pPr>
      <w:r>
        <w:t xml:space="preserve">UN : 1090</w:t>
      </w:r>
    </w:p>
    <w:bookmarkEnd w:id="36"/>
    <w:bookmarkStart w:id="37" w:name="Xda6f178de632779b007ca26fa4959a763d2c7f4"/>
    <w:p>
      <w:pPr>
        <w:pStyle w:val="Heading2"/>
      </w:pPr>
      <w:r>
        <w:t xml:space="preserve">Dangers et/ou mesures par voie d’exposition</w:t>
      </w:r>
    </w:p>
    <w:p>
      <w:pPr>
        <w:pStyle w:val="FirstParagraph"/>
      </w:pPr>
      <w:r>
        <w:t xml:space="preserve">skin : Retirer les vêtements imprégnés.</w:t>
      </w:r>
      <w:r>
        <w:t xml:space="preserve"> </w:t>
      </w:r>
      <w:r>
        <w:t xml:space="preserve">Laver soigneusement la peau avec de l’eau et du savon.</w:t>
      </w:r>
      <w:r>
        <w:t xml:space="preserve"> </w:t>
      </w:r>
      <w:r>
        <w:t xml:space="preserve">Si une irritation apparaît ou si la contamination est étendue et prolongée, consulter un médecin.</w:t>
      </w:r>
    </w:p>
    <w:p>
      <w:pPr>
        <w:pStyle w:val="BodyText"/>
      </w:pPr>
      <w:r>
        <w:t xml:space="preserve">eyes : Laver immédiatement et abondamment à l’eau, en écartant les paupières, pendant plusieurs minutes.</w:t>
      </w:r>
      <w:r>
        <w:t xml:space="preserve"> </w:t>
      </w:r>
      <w:r>
        <w:t xml:space="preserve">Si une irritation persiste, consulter un ophtalmologiste.</w:t>
      </w:r>
    </w:p>
    <w:p>
      <w:pPr>
        <w:pStyle w:val="BodyText"/>
      </w:pPr>
      <w:r>
        <w:t xml:space="preserve">ingestion : Garder la victime au repos.</w:t>
      </w:r>
      <w:r>
        <w:t xml:space="preserve"> </w:t>
      </w:r>
      <w:r>
        <w:t xml:space="preserve">Ne pas faire vomir.</w:t>
      </w:r>
      <w:r>
        <w:t xml:space="preserve"> </w:t>
      </w:r>
      <w:r>
        <w:t xml:space="preserve">Rincer la bouche avec de l’eau.</w:t>
      </w:r>
      <w:r>
        <w:t xml:space="preserve"> </w:t>
      </w:r>
      <w:r>
        <w:t xml:space="preserve">Consulter un médecin en montrant l’étiquette.</w:t>
      </w:r>
    </w:p>
    <w:p>
      <w:pPr>
        <w:pStyle w:val="BodyText"/>
      </w:pPr>
      <w:r>
        <w:t xml:space="preserve">inhalation : Transporter la victime à l’air libre.</w:t>
      </w:r>
      <w:r>
        <w:t xml:space="preserve"> </w:t>
      </w:r>
      <w:r>
        <w:t xml:space="preserve">Si les symptômes persistent, consulter un médecin.</w:t>
      </w:r>
    </w:p>
    <w:p>
      <w:r>
        <w:br w:type="page"/>
      </w:r>
    </w:p>
    <w:bookmarkEnd w:id="37"/>
    <w:bookmarkStart w:id="49" w:name="Xd3fd47f9279b52cc9d4b00e07bdfde0bea6594f"/>
    <w:p>
      <w:pPr>
        <w:pStyle w:val="Heading2"/>
      </w:pPr>
      <w:r>
        <w:t xml:space="preserve">Informations relatives aux substances dangereuses présentes</w:t>
      </w:r>
    </w:p>
    <w:bookmarkStart w:id="48" w:name="acétone"/>
    <w:p>
      <w:pPr>
        <w:pStyle w:val="Heading3"/>
      </w:pPr>
      <w:r>
        <w:t xml:space="preserve">Acétone</w:t>
      </w:r>
    </w:p>
    <w:p>
      <w:pPr>
        <w:pStyle w:val="FirstParagraph"/>
      </w:pPr>
      <w:r>
        <w:rPr>
          <w:b/>
          <w:bCs/>
        </w:rPr>
        <w:t xml:space="preserve">Identification</w:t>
      </w:r>
    </w:p>
    <w:p>
      <w:pPr>
        <w:pStyle w:val="Compact"/>
        <w:numPr>
          <w:ilvl w:val="0"/>
          <w:numId w:val="1006"/>
        </w:numPr>
      </w:pPr>
      <w:r>
        <w:t xml:space="preserve">N° CAS : 67-64-1</w:t>
      </w:r>
    </w:p>
    <w:p>
      <w:pPr>
        <w:pStyle w:val="Compact"/>
        <w:numPr>
          <w:ilvl w:val="0"/>
          <w:numId w:val="1006"/>
        </w:numPr>
      </w:pPr>
      <w:r>
        <w:t xml:space="preserve">N° EINECS : 200-662-2</w:t>
      </w:r>
    </w:p>
    <w:p>
      <w:pPr>
        <w:pStyle w:val="FirstParagraph"/>
      </w:pPr>
      <w:r>
        <w:rPr>
          <w:b/>
          <w:bCs/>
        </w:rPr>
        <w:t xml:space="preserve">Concentration</w:t>
      </w:r>
      <w:r>
        <w:t xml:space="preserve"> </w:t>
      </w:r>
      <w:r>
        <w:t xml:space="preserve">:greater or equal to 98.5</w:t>
      </w:r>
    </w:p>
    <w:p>
      <w:pPr>
        <w:pStyle w:val="BodyText"/>
      </w:pPr>
      <w:r>
        <w:rPr>
          <w:b/>
          <w:bCs/>
        </w:rPr>
        <w:t xml:space="preserve">Dangers</w:t>
      </w:r>
      <w:r>
        <w:t xml:space="preserve"> </w:t>
      </w:r>
      <w:r>
        <w:t xml:space="preserve">:</w:t>
      </w:r>
    </w:p>
    <w:p>
      <w:pPr>
        <w:numPr>
          <w:ilvl w:val="0"/>
          <w:numId w:val="1007"/>
        </w:numPr>
      </w:pPr>
      <w:r>
        <w:t xml:space="preserve">H225</w:t>
      </w:r>
      <w:r>
        <w:t xml:space="preserve"> </w:t>
      </w:r>
      <w:r>
        <w:t xml:space="preserve">Liquide et vapeurs très inflammables.</w:t>
      </w:r>
    </w:p>
    <w:p>
      <w:pPr>
        <w:numPr>
          <w:ilvl w:val="0"/>
          <w:numId w:val="1007"/>
        </w:numPr>
      </w:pPr>
      <w:r>
        <w:t xml:space="preserve">H319</w:t>
      </w:r>
      <w:r>
        <w:t xml:space="preserve"> </w:t>
      </w:r>
      <w:r>
        <w:t xml:space="preserve">Provoque une sévère irritation des yeux.</w:t>
      </w:r>
    </w:p>
    <w:p>
      <w:pPr>
        <w:numPr>
          <w:ilvl w:val="0"/>
          <w:numId w:val="1007"/>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246.0 - VLE-8h (mg/m³) : 594.0 - VLE-15min (ppm) : 492.0 - VLE-15min (mg/m³) : 1187.0</w:t>
            </w:r>
          </w:p>
        </w:tc>
      </w:tr>
    </w:tbl>
    <w:bookmarkStart w:id="47" w:name="propriétés"/>
    <w:p>
      <w:pPr>
        <w:pStyle w:val="Heading4"/>
      </w:pPr>
      <w:r>
        <w:t xml:space="preserve">Propriétés</w:t>
      </w:r>
    </w:p>
    <w:p>
      <w:pPr>
        <w:pStyle w:val="FirstParagraph"/>
      </w:pPr>
      <w:hyperlink r:id="rId38">
        <w:r>
          <w:rPr>
            <w:rStyle w:val="Hyperlink"/>
            <w:color w:val="0856A0"/>
            <w:u w:val="single"/>
          </w:rPr>
          <w:t xml:space="preserve">Fiche n°3 - Acétone</w:t>
        </w:r>
      </w:hyperlink>
    </w:p>
    <w:p>
      <w:pPr>
        <w:numPr>
          <w:ilvl w:val="0"/>
          <w:numId w:val="1008"/>
        </w:numPr>
      </w:pPr>
      <w:hyperlink r:id="rId39">
        <w:r>
          <w:rPr>
            <w:rStyle w:val="Hyperlink"/>
            <w:color w:val="0856A0"/>
            <w:u w:val="single"/>
          </w:rPr>
          <w:t xml:space="preserve">Généralités</w:t>
        </w:r>
      </w:hyperlink>
    </w:p>
    <w:p>
      <w:pPr>
        <w:numPr>
          <w:ilvl w:val="0"/>
          <w:numId w:val="1008"/>
        </w:numPr>
      </w:pPr>
      <w:hyperlink r:id="rId40">
        <w:r>
          <w:rPr>
            <w:rStyle w:val="Hyperlink"/>
            <w:color w:val="0856A0"/>
            <w:u w:val="single"/>
          </w:rPr>
          <w:t xml:space="preserve">Caractéristiques</w:t>
        </w:r>
      </w:hyperlink>
    </w:p>
    <w:p>
      <w:pPr>
        <w:numPr>
          <w:ilvl w:val="0"/>
          <w:numId w:val="1008"/>
        </w:numPr>
      </w:pPr>
      <w:hyperlink r:id="rId41">
        <w:r>
          <w:rPr>
            <w:rStyle w:val="Hyperlink"/>
            <w:color w:val="0856A0"/>
            <w:u w:val="single"/>
          </w:rPr>
          <w:t xml:space="preserve">VLEPMesurage</w:t>
        </w:r>
      </w:hyperlink>
    </w:p>
    <w:p>
      <w:pPr>
        <w:numPr>
          <w:ilvl w:val="0"/>
          <w:numId w:val="1008"/>
        </w:numPr>
      </w:pPr>
      <w:hyperlink r:id="rId42">
        <w:r>
          <w:rPr>
            <w:rStyle w:val="Hyperlink"/>
            <w:color w:val="0856A0"/>
            <w:u w:val="single"/>
          </w:rPr>
          <w:t xml:space="preserve">Incendie - Explosion[1-3, 26-28]</w:t>
        </w:r>
      </w:hyperlink>
    </w:p>
    <w:p>
      <w:pPr>
        <w:numPr>
          <w:ilvl w:val="0"/>
          <w:numId w:val="1008"/>
        </w:numPr>
      </w:pPr>
      <w:hyperlink r:id="rId43">
        <w:r>
          <w:rPr>
            <w:rStyle w:val="Hyperlink"/>
            <w:color w:val="0856A0"/>
            <w:u w:val="single"/>
          </w:rPr>
          <w:t xml:space="preserve">Pathologie - Toxicologie</w:t>
        </w:r>
      </w:hyperlink>
    </w:p>
    <w:p>
      <w:pPr>
        <w:numPr>
          <w:ilvl w:val="0"/>
          <w:numId w:val="1008"/>
        </w:numPr>
      </w:pPr>
      <w:hyperlink r:id="rId44">
        <w:r>
          <w:rPr>
            <w:rStyle w:val="Hyperlink"/>
            <w:color w:val="0856A0"/>
            <w:u w:val="single"/>
          </w:rPr>
          <w:t xml:space="preserve">Règlementation</w:t>
        </w:r>
      </w:hyperlink>
    </w:p>
    <w:p>
      <w:pPr>
        <w:numPr>
          <w:ilvl w:val="0"/>
          <w:numId w:val="1008"/>
        </w:numPr>
      </w:pPr>
      <w:hyperlink r:id="rId45">
        <w:r>
          <w:rPr>
            <w:rStyle w:val="Hyperlink"/>
            <w:color w:val="0856A0"/>
            <w:u w:val="single"/>
          </w:rPr>
          <w:t xml:space="preserve">Recommandations</w:t>
        </w:r>
      </w:hyperlink>
    </w:p>
    <w:p>
      <w:pPr>
        <w:numPr>
          <w:ilvl w:val="0"/>
          <w:numId w:val="1008"/>
        </w:numPr>
      </w:pPr>
      <w:hyperlink r:id="rId46">
        <w:r>
          <w:rPr>
            <w:rStyle w:val="Hyperlink"/>
            <w:color w:val="0856A0"/>
            <w:u w:val="single"/>
          </w:rPr>
          <w:t xml:space="preserve">Bibliographie</w:t>
        </w:r>
      </w:hyperlink>
    </w:p>
    <w:bookmarkEnd w:id="47"/>
    <w:bookmarkEnd w:id="48"/>
    <w:bookmarkEnd w:id="49"/>
    <w:bookmarkStart w:id="50"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Gants de protection appropriés, résistants aux agents chimiques, conformes à la norme NF EN 374.</w:t>
            </w:r>
            <w:r>
              <w:rPr>
                <w:sz w:val="20"/>
                <w:szCs w:val="20"/>
              </w:rPr>
              <w:t xml:space="preserve">- Type de gants conseillé : caoutchouc butyle (copolymère isobutylène‑isoprène).</w:t>
            </w:r>
            <w:r>
              <w:rPr>
                <w:sz w:val="20"/>
                <w:szCs w:val="20"/>
              </w:rPr>
              <w:t xml:space="preserve">- Temps de pénétration : ≥ 4 h.</w:t>
            </w:r>
            <w:r>
              <w:rPr>
                <w:sz w:val="20"/>
                <w:szCs w:val="20"/>
              </w:rPr>
              <w:t xml:space="preserve">- Épaisseur des gants : 0,5 mm.</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de sécurité à protection intégrale ou écran facial.</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Gants de protection appropriés, résistants aux agents chimiques, conformes à la norme NF EN 374.</w:t>
            </w:r>
            <w:r>
              <w:rPr>
                <w:sz w:val="20"/>
                <w:szCs w:val="20"/>
              </w:rPr>
              <w:t xml:space="preserve">- Type de gants conseillé : caoutchouc butyle (copolymère isobutylène‑isoprène).</w:t>
            </w:r>
            <w:r>
              <w:rPr>
                <w:sz w:val="20"/>
                <w:szCs w:val="20"/>
              </w:rPr>
              <w:t xml:space="preserve">- Temps de pénétration : ≥ 4 h.</w:t>
            </w:r>
            <w:r>
              <w:rPr>
                <w:sz w:val="20"/>
                <w:szCs w:val="20"/>
              </w:rPr>
              <w:t xml:space="preserve">- Épaisseur des gants : 0,5 mm.</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En cas de ventilation insuffisante, porter un appareil respiratoire approprié.</w:t>
            </w:r>
            <w:r>
              <w:rPr>
                <w:sz w:val="20"/>
                <w:szCs w:val="20"/>
              </w:rPr>
              <w:t xml:space="preserve">- Filtres anti‑gaz et vapeurs (filtres combinés) conformes à la norme NF EN 14387.</w:t>
            </w:r>
            <w:r>
              <w:rPr>
                <w:sz w:val="20"/>
                <w:szCs w:val="20"/>
              </w:rPr>
              <w:t xml:space="preserve">- Type de filtre : AX (marron).</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Vêtements de protection appropriés (combinaisons, tabliers, etc.) conçus pour résister aux solvants.</w:t>
            </w:r>
          </w:p>
        </w:tc>
      </w:tr>
    </w:tbl>
    <w:bookmarkEnd w:id="50"/>
    <w:bookmarkStart w:id="51"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Utiliser le produit dans des zones bien ventilées. - Utiliser le mélange dans des locaux dépourvus de toute flamme nue ou autres sources d’ignition, et posséder un équipement électrique protégé. - Garder les emballages solidement fermés et les éloigner des sources de chaleur, d’étincelles et de flammes nues.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le récipient fermé dans un endroit bien ventilé. Tenir éloigné de toute source d’ignition, de chaleur et des matières incompatibles (voir chapitre 10). Toujours conserver dans des emballages d’un matériau identique à celui d’origine.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Solvant.</w:t>
            </w:r>
          </w:p>
        </w:tc>
      </w:tr>
    </w:tbl>
    <w:bookmarkEnd w:id="51"/>
    <w:bookmarkEnd w:id="52"/>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38" Type="http://schemas.openxmlformats.org/officeDocument/2006/relationships/hyperlink" Target="https://www.inrs.fr/publications/bdd/fichetox/fiche.html?refINRS=FICHETOX_3" TargetMode="External"/><Relationship Id="rId41" Type="http://schemas.openxmlformats.org/officeDocument/2006/relationships/hyperlink" Target="https://www.inrs.fr/publications/bdd/fichetox/fiche.html?refINRS=FICHETOX_3&amp;section=VLEPMesurage" TargetMode="External"/><Relationship Id="rId46" Type="http://schemas.openxmlformats.org/officeDocument/2006/relationships/hyperlink" Target="https://www.inrs.fr/publications/bdd/fichetox/fiche.html?refINRS=FICHETOX_3&amp;section=bibliographieAuteurs" TargetMode="External"/><Relationship Id="rId40" Type="http://schemas.openxmlformats.org/officeDocument/2006/relationships/hyperlink" Target="https://www.inrs.fr/publications/bdd/fichetox/fiche.html?refINRS=FICHETOX_3&amp;section=caracteristiques" TargetMode="External"/><Relationship Id="rId39" Type="http://schemas.openxmlformats.org/officeDocument/2006/relationships/hyperlink" Target="https://www.inrs.fr/publications/bdd/fichetox/fiche.html?refINRS=FICHETOX_3&amp;section=generalites" TargetMode="External"/><Relationship Id="rId42" Type="http://schemas.openxmlformats.org/officeDocument/2006/relationships/hyperlink" Target="https://www.inrs.fr/publications/bdd/fichetox/fiche.html?refINRS=FICHETOX_3&amp;section=incendieExplosion" TargetMode="External"/><Relationship Id="rId43" Type="http://schemas.openxmlformats.org/officeDocument/2006/relationships/hyperlink" Target="https://www.inrs.fr/publications/bdd/fichetox/fiche.html?refINRS=FICHETOX_3&amp;section=pathologieToxicologie" TargetMode="External"/><Relationship Id="rId45" Type="http://schemas.openxmlformats.org/officeDocument/2006/relationships/hyperlink" Target="https://www.inrs.fr/publications/bdd/fichetox/fiche.html?refINRS=FICHETOX_3&amp;section=recommandations" TargetMode="External"/><Relationship Id="rId44" Type="http://schemas.openxmlformats.org/officeDocument/2006/relationships/hyperlink" Target="https://www.inrs.fr/publications/bdd/fichetox/fiche.html?refINRS=FICHETOX_3&amp;section=reglementation" TargetMode="External"/></Relationships>
</file>

<file path=word/_rels/footnotes.xml.rels><?xml version='1.0' encoding='UTF-8' standalone='yes'?>
<Relationships xmlns="http://schemas.openxmlformats.org/package/2006/relationships"><Relationship Id="rId38" Type="http://schemas.openxmlformats.org/officeDocument/2006/relationships/hyperlink" Target="https://www.inrs.fr/publications/bdd/fichetox/fiche.html?refINRS=FICHETOX_3" TargetMode="External"/><Relationship Id="rId41" Type="http://schemas.openxmlformats.org/officeDocument/2006/relationships/hyperlink" Target="https://www.inrs.fr/publications/bdd/fichetox/fiche.html?refINRS=FICHETOX_3&amp;section=VLEPMesurage" TargetMode="External"/><Relationship Id="rId46" Type="http://schemas.openxmlformats.org/officeDocument/2006/relationships/hyperlink" Target="https://www.inrs.fr/publications/bdd/fichetox/fiche.html?refINRS=FICHETOX_3&amp;section=bibliographieAuteurs" TargetMode="External"/><Relationship Id="rId40" Type="http://schemas.openxmlformats.org/officeDocument/2006/relationships/hyperlink" Target="https://www.inrs.fr/publications/bdd/fichetox/fiche.html?refINRS=FICHETOX_3&amp;section=caracteristiques" TargetMode="External"/><Relationship Id="rId39" Type="http://schemas.openxmlformats.org/officeDocument/2006/relationships/hyperlink" Target="https://www.inrs.fr/publications/bdd/fichetox/fiche.html?refINRS=FICHETOX_3&amp;section=generalites" TargetMode="External"/><Relationship Id="rId42" Type="http://schemas.openxmlformats.org/officeDocument/2006/relationships/hyperlink" Target="https://www.inrs.fr/publications/bdd/fichetox/fiche.html?refINRS=FICHETOX_3&amp;section=incendieExplosion" TargetMode="External"/><Relationship Id="rId43" Type="http://schemas.openxmlformats.org/officeDocument/2006/relationships/hyperlink" Target="https://www.inrs.fr/publications/bdd/fichetox/fiche.html?refINRS=FICHETOX_3&amp;section=pathologieToxicologie" TargetMode="External"/><Relationship Id="rId45" Type="http://schemas.openxmlformats.org/officeDocument/2006/relationships/hyperlink" Target="https://www.inrs.fr/publications/bdd/fichetox/fiche.html?refINRS=FICHETOX_3&amp;section=recommandations" TargetMode="External"/><Relationship Id="rId44" Type="http://schemas.openxmlformats.org/officeDocument/2006/relationships/hyperlink" Target="https://www.inrs.fr/publications/bdd/fichetox/fiche.html?refINRS=FICHETOX_3&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2026-04-02T03:14:21Z</dcterms:created>
  <dcterms:modified xsi:type="dcterms:W3CDTF">2026-04-02T03:14:21Z</dcterms:modified>
</cp:coreProperties>
</file>

<file path=docProps/custom.xml><?xml version="1.0" encoding="utf-8"?>
<Properties xmlns="http://schemas.openxmlformats.org/officeDocument/2006/custom-properties" xmlns:vt="http://schemas.openxmlformats.org/officeDocument/2006/docPropsVTypes"/>
</file>