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foreverproducts-whitespirittub</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FOREVER PRODUCTS N.V.</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2026-04-02</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foreverproducts-whitespirittub</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46" w:name="X83d1c697d919f65cf1154c7725b38426a11c407"/>
    <w:p>
      <w:pPr>
        <w:pStyle w:val="Heading1"/>
      </w:pPr>
      <w:r>
        <w:t xml:space="preserve">Analyse des dangers : foreverproducts-whitespirittub</w:t>
      </w:r>
    </w:p>
    <w:p>
      <w:pPr>
        <w:pStyle w:val="FirstParagraph"/>
      </w:pPr>
      <w:r>
        <w:t xml:space="preserve">Dans la suite, nous détaillons les dangers associés au produit</w:t>
      </w:r>
      <w:r>
        <w:t xml:space="preserve"> </w:t>
      </w:r>
      <w:r>
        <w:rPr>
          <w:b/>
          <w:bCs/>
        </w:rPr>
        <w:t xml:space="preserve">foreverproducts-whitespirittub</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FOREVER PRODUCTS N.V.</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fluide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Solvant</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2016-08-02</w:t>
            </w:r>
          </w:p>
        </w:tc>
      </w:tr>
    </w:tbl>
    <w:p>
      <w:pPr>
        <w:pStyle w:val="BodyText"/>
      </w:pPr>
      <w:r>
        <w:t xml:space="preserve"> </w:t>
      </w:r>
      <w:r>
        <w:t xml:space="preserve">La FDS date du 2016-08-02. Elle a donc 9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9"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Inflammable" title="" id="31" name="Picture"/>
            <a:graphic>
              <a:graphicData uri="http://schemas.openxmlformats.org/drawingml/2006/picture">
                <pic:pic>
                  <pic:nvPicPr>
                    <pic:cNvPr descr="templates/SGH02.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Inflammable</w:t>
      </w:r>
    </w:p>
    <w:p>
      <w:pPr>
        <w:pStyle w:val="BodyText"/>
      </w:pP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r>
        <w:t xml:space="preserve"> </w:t>
      </w:r>
      <w:r>
        <w:drawing>
          <wp:inline>
            <wp:extent cx="719999" cy="719999"/>
            <wp:effectExtent b="0" l="0" r="0" t="0"/>
            <wp:docPr descr="Grave pour la santé" title="" id="37" name="Picture"/>
            <a:graphic>
              <a:graphicData uri="http://schemas.openxmlformats.org/drawingml/2006/picture">
                <pic:pic>
                  <pic:nvPicPr>
                    <pic:cNvPr descr="templates/SGH08.png" id="38" name="Picture"/>
                    <pic:cNvPicPr>
                      <a:picLocks noChangeArrowheads="1" noChangeAspect="1"/>
                    </pic:cNvPicPr>
                  </pic:nvPicPr>
                  <pic:blipFill>
                    <a:blip r:embed="rId36"/>
                    <a:stretch>
                      <a:fillRect/>
                    </a:stretch>
                  </pic:blipFill>
                  <pic:spPr bwMode="auto">
                    <a:xfrm>
                      <a:off x="0" y="0"/>
                      <a:ext cx="719999" cy="719999"/>
                    </a:xfrm>
                    <a:prstGeom prst="rect">
                      <a:avLst/>
                    </a:prstGeom>
                    <a:noFill/>
                    <a:ln w="9525">
                      <a:noFill/>
                      <a:headEnd/>
                      <a:tailEnd/>
                    </a:ln>
                  </pic:spPr>
                </pic:pic>
              </a:graphicData>
            </a:graphic>
          </wp:inline>
        </w:drawing>
      </w:r>
      <w:r>
        <w:t xml:space="preserve">Grave pour la santé</w:t>
      </w:r>
    </w:p>
    <w:p>
      <w:pPr>
        <w:pStyle w:val="BodyText"/>
      </w:pPr>
      <w:r>
        <w:rPr>
          <w:b/>
          <w:bCs/>
        </w:rPr>
        <w:t xml:space="preserve">Mentions de danger</w:t>
      </w:r>
      <w:r>
        <w:t xml:space="preserve"> </w:t>
      </w:r>
      <w:r>
        <w:t xml:space="preserve">:</w:t>
      </w:r>
    </w:p>
    <w:p>
      <w:pPr>
        <w:numPr>
          <w:ilvl w:val="0"/>
          <w:numId w:val="1003"/>
        </w:numPr>
      </w:pPr>
      <w:r>
        <w:t xml:space="preserve">H226</w:t>
      </w:r>
      <w:r>
        <w:t xml:space="preserve"> </w:t>
      </w:r>
      <w:r>
        <w:t xml:space="preserve">Liquide et vapeurs inflammables.</w:t>
      </w:r>
    </w:p>
    <w:p>
      <w:pPr>
        <w:numPr>
          <w:ilvl w:val="0"/>
          <w:numId w:val="1003"/>
        </w:numPr>
      </w:pPr>
      <w:r>
        <w:t xml:space="preserve">H304</w:t>
      </w:r>
      <w:r>
        <w:t xml:space="preserve"> </w:t>
      </w:r>
      <w:r>
        <w:t xml:space="preserve">Peut être mortel en cas d’ingestion et de pénétration dans les voies respiratoires.</w:t>
      </w:r>
    </w:p>
    <w:p>
      <w:pPr>
        <w:numPr>
          <w:ilvl w:val="0"/>
          <w:numId w:val="1003"/>
        </w:numPr>
      </w:pPr>
      <w:r>
        <w:t xml:space="preserve">H336</w:t>
      </w:r>
      <w:r>
        <w:t xml:space="preserve"> </w:t>
      </w:r>
      <w:r>
        <w:t xml:space="preserve">Peut provoquer somnolence ou vertiges.</w:t>
      </w:r>
    </w:p>
    <w:p>
      <w:pPr>
        <w:numPr>
          <w:ilvl w:val="0"/>
          <w:numId w:val="1003"/>
        </w:numPr>
      </w:pPr>
      <w:r>
        <w:t xml:space="preserve">H372</w:t>
      </w:r>
      <w:r>
        <w:t xml:space="preserve"> </w:t>
      </w:r>
      <w:r>
        <w:t xml:space="preserve">Risque avéré d’effets graves pour les organes à la suite d’expositions répétées ou d’une exposition prolongée.</w:t>
      </w:r>
    </w:p>
    <w:p>
      <w:pPr>
        <w:numPr>
          <w:ilvl w:val="0"/>
          <w:numId w:val="1003"/>
        </w:numPr>
      </w:pPr>
      <w:r>
        <w:t xml:space="preserve">H411</w:t>
      </w:r>
      <w:r>
        <w:t xml:space="preserve"> </w:t>
      </w:r>
      <w:r>
        <w:t xml:space="preserve">Toxique pour les organismes aquatiques, entraîne des effets néfastes à long terme.</w:t>
      </w:r>
    </w:p>
    <w:p>
      <w:pPr>
        <w:numPr>
          <w:ilvl w:val="0"/>
          <w:numId w:val="1003"/>
        </w:numPr>
      </w:pPr>
      <w:r>
        <w:t xml:space="preserve">EUH066</w:t>
      </w:r>
      <w:r>
        <w:t xml:space="preserve"> </w:t>
      </w:r>
      <w:r>
        <w:t xml:space="preserve">L’exposition répétée peut provoquer dessèchement ou gerçures de la peau.</w:t>
      </w:r>
    </w:p>
    <w:p>
      <w:pPr>
        <w:pStyle w:val="FirstParagraph"/>
      </w:pPr>
      <w:r>
        <w:rPr>
          <w:b/>
          <w:bCs/>
        </w:rPr>
        <w:t xml:space="preserve">Conseils de prudence</w:t>
      </w:r>
      <w:r>
        <w:t xml:space="preserve"> </w:t>
      </w:r>
      <w:r>
        <w:t xml:space="preserve">:</w:t>
      </w:r>
    </w:p>
    <w:p>
      <w:pPr>
        <w:numPr>
          <w:ilvl w:val="0"/>
          <w:numId w:val="1004"/>
        </w:numPr>
      </w:pPr>
      <w:r>
        <w:t xml:space="preserve">P101</w:t>
      </w:r>
      <w:r>
        <w:t xml:space="preserve"> </w:t>
      </w:r>
      <w:r>
        <w:t xml:space="preserve">En cas de consultation d’un médecin, garder à disposition le récipient ou l’étiquette.</w:t>
      </w:r>
    </w:p>
    <w:p>
      <w:pPr>
        <w:numPr>
          <w:ilvl w:val="0"/>
          <w:numId w:val="1004"/>
        </w:numPr>
      </w:pPr>
      <w:r>
        <w:t xml:space="preserve">P102</w:t>
      </w:r>
      <w:r>
        <w:t xml:space="preserve"> </w:t>
      </w:r>
      <w:r>
        <w:t xml:space="preserve">Tenir hors de portée des enfants.</w:t>
      </w:r>
    </w:p>
    <w:p>
      <w:pPr>
        <w:numPr>
          <w:ilvl w:val="0"/>
          <w:numId w:val="1004"/>
        </w:numPr>
      </w:pPr>
      <w:r>
        <w:t xml:space="preserve">P210</w:t>
      </w:r>
      <w:r>
        <w:t xml:space="preserve"> </w:t>
      </w:r>
      <w:r>
        <w:t xml:space="preserve">P210</w:t>
      </w:r>
    </w:p>
    <w:p>
      <w:pPr>
        <w:numPr>
          <w:ilvl w:val="0"/>
          <w:numId w:val="1004"/>
        </w:numPr>
      </w:pPr>
      <w:r>
        <w:t xml:space="preserve">P260</w:t>
      </w:r>
      <w:r>
        <w:t xml:space="preserve"> </w:t>
      </w:r>
      <w:r>
        <w:t xml:space="preserve">Ne pas respirer les poussières/fumées/gaz/brouillards/vapeurs/ aérosols.</w:t>
      </w:r>
    </w:p>
    <w:p>
      <w:pPr>
        <w:numPr>
          <w:ilvl w:val="0"/>
          <w:numId w:val="1004"/>
        </w:numPr>
      </w:pPr>
      <w:r>
        <w:t xml:space="preserve">P271</w:t>
      </w:r>
      <w:r>
        <w:t xml:space="preserve"> </w:t>
      </w:r>
      <w:r>
        <w:t xml:space="preserve">Utiliser seulement en plein air ou dans un endroit bien ventilé.</w:t>
      </w:r>
    </w:p>
    <w:p>
      <w:pPr>
        <w:numPr>
          <w:ilvl w:val="0"/>
          <w:numId w:val="1004"/>
        </w:numPr>
      </w:pPr>
      <w:r>
        <w:t xml:space="preserve">P273</w:t>
      </w:r>
      <w:r>
        <w:t xml:space="preserve"> </w:t>
      </w:r>
      <w:r>
        <w:t xml:space="preserve">Éviter le rejet dans l’environnement.</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P301+P310</w:t>
      </w:r>
      <w:r>
        <w:t xml:space="preserve"> </w:t>
      </w:r>
      <w:r>
        <w:t xml:space="preserve">EN CAS D’INGESTION:</w:t>
      </w:r>
    </w:p>
    <w:p>
      <w:pPr>
        <w:numPr>
          <w:ilvl w:val="0"/>
          <w:numId w:val="1004"/>
        </w:numPr>
      </w:pPr>
      <w:r>
        <w:t xml:space="preserve">P304+P340</w:t>
      </w:r>
      <w:r>
        <w:t xml:space="preserve"> </w:t>
      </w:r>
      <w:r>
        <w:t xml:space="preserve">EN CAS D’INHALATION:</w:t>
      </w:r>
    </w:p>
    <w:p>
      <w:pPr>
        <w:numPr>
          <w:ilvl w:val="0"/>
          <w:numId w:val="1004"/>
        </w:numPr>
      </w:pPr>
      <w:r>
        <w:t xml:space="preserve">P312</w:t>
      </w:r>
      <w:r>
        <w:t xml:space="preserve"> </w:t>
      </w:r>
      <w:r>
        <w:t xml:space="preserve">P312</w:t>
      </w:r>
    </w:p>
    <w:p>
      <w:pPr>
        <w:numPr>
          <w:ilvl w:val="0"/>
          <w:numId w:val="1004"/>
        </w:numPr>
      </w:pPr>
      <w:r>
        <w:t xml:space="preserve">P331</w:t>
      </w:r>
      <w:r>
        <w:t xml:space="preserve"> </w:t>
      </w:r>
      <w:r>
        <w:t xml:space="preserve">NE PAS faire vomir.</w:t>
      </w:r>
    </w:p>
    <w:p>
      <w:pPr>
        <w:numPr>
          <w:ilvl w:val="0"/>
          <w:numId w:val="1004"/>
        </w:numPr>
      </w:pPr>
      <w:r>
        <w:t xml:space="preserve">P405</w:t>
      </w:r>
      <w:r>
        <w:t xml:space="preserve"> </w:t>
      </w:r>
      <w:r>
        <w:t xml:space="preserve">Garder sous clef.</w:t>
      </w:r>
    </w:p>
    <w:p>
      <w:pPr>
        <w:numPr>
          <w:ilvl w:val="0"/>
          <w:numId w:val="1004"/>
        </w:numPr>
      </w:pPr>
      <w:r>
        <w:t xml:space="preserve">P501</w:t>
      </w:r>
      <w:r>
        <w:t xml:space="preserve"> </w:t>
      </w:r>
      <w:r>
        <w:t xml:space="preserve">Éliminer le contenu/récipient dans …</w:t>
      </w:r>
    </w:p>
    <w:p>
      <w:pPr>
        <w:pStyle w:val="FirstParagraph"/>
      </w:pPr>
      <w:r>
        <w:rPr>
          <w:b/>
          <w:bCs/>
        </w:rPr>
        <w:t xml:space="preserve">Transport</w:t>
      </w:r>
      <w:r>
        <w:t xml:space="preserve"> </w:t>
      </w:r>
      <w:r>
        <w:t xml:space="preserve">:</w:t>
      </w:r>
    </w:p>
    <w:p>
      <w:pPr>
        <w:pStyle w:val="Compact"/>
        <w:numPr>
          <w:ilvl w:val="0"/>
          <w:numId w:val="1005"/>
        </w:numPr>
      </w:pPr>
      <w:r>
        <w:t xml:space="preserve">ADR : 3</w:t>
      </w:r>
    </w:p>
    <w:p>
      <w:pPr>
        <w:pStyle w:val="Compact"/>
        <w:numPr>
          <w:ilvl w:val="0"/>
          <w:numId w:val="1005"/>
        </w:numPr>
      </w:pPr>
      <w:r>
        <w:t xml:space="preserve">RID : 3</w:t>
      </w:r>
    </w:p>
    <w:p>
      <w:pPr>
        <w:pStyle w:val="Compact"/>
        <w:numPr>
          <w:ilvl w:val="0"/>
          <w:numId w:val="1005"/>
        </w:numPr>
      </w:pPr>
      <w:r>
        <w:t xml:space="preserve">ADN : 3</w:t>
      </w:r>
    </w:p>
    <w:p>
      <w:pPr>
        <w:pStyle w:val="Compact"/>
        <w:numPr>
          <w:ilvl w:val="0"/>
          <w:numId w:val="1005"/>
        </w:numPr>
      </w:pPr>
      <w:r>
        <w:t xml:space="preserve">IMDG : 3</w:t>
      </w:r>
    </w:p>
    <w:p>
      <w:pPr>
        <w:pStyle w:val="Compact"/>
        <w:numPr>
          <w:ilvl w:val="0"/>
          <w:numId w:val="1005"/>
        </w:numPr>
      </w:pPr>
      <w:r>
        <w:t xml:space="preserve">IATA : 3</w:t>
      </w:r>
    </w:p>
    <w:p>
      <w:pPr>
        <w:pStyle w:val="Compact"/>
        <w:numPr>
          <w:ilvl w:val="0"/>
          <w:numId w:val="1005"/>
        </w:numPr>
      </w:pPr>
      <w:r>
        <w:t xml:space="preserve">UN : 1300</w:t>
      </w:r>
    </w:p>
    <w:bookmarkEnd w:id="39"/>
    <w:bookmarkStart w:id="40" w:name="Xda6f178de632779b007ca26fa4959a763d2c7f4"/>
    <w:p>
      <w:pPr>
        <w:pStyle w:val="Heading2"/>
      </w:pPr>
      <w:r>
        <w:t xml:space="preserve">Dangers et/ou mesures par voie d’exposition</w:t>
      </w:r>
    </w:p>
    <w:p>
      <w:pPr>
        <w:pStyle w:val="FirstParagraph"/>
      </w:pPr>
      <w:r>
        <w:t xml:space="preserve">skin : • Retirer les vêtements contaminés.</w:t>
      </w:r>
      <w:r>
        <w:t xml:space="preserve">• Laver soigneusement la peau avec de l’eau et du savon.</w:t>
      </w:r>
      <w:r>
        <w:t xml:space="preserve">• Si une irritation apparaît ou si la contamination est étendue et prolongée, consulter un médecin.</w:t>
      </w:r>
    </w:p>
    <w:p>
      <w:pPr>
        <w:pStyle w:val="BodyText"/>
      </w:pPr>
      <w:r>
        <w:t xml:space="preserve">eyes : • Laver immédiatement et abondamment à l’eau, en écartant les paupières, pendant plusieurs minutes.</w:t>
      </w:r>
      <w:r>
        <w:t xml:space="preserve">• Si une irritation persiste, consulter un ophtalmologiste.</w:t>
      </w:r>
    </w:p>
    <w:p>
      <w:pPr>
        <w:pStyle w:val="BodyText"/>
      </w:pPr>
      <w:r>
        <w:t xml:space="preserve">ingestion : • Ne pas faire vomir (risque d’aspiration).</w:t>
      </w:r>
      <w:r>
        <w:t xml:space="preserve">• Ne pas ingérer.</w:t>
      </w:r>
      <w:r>
        <w:t xml:space="preserve">• Transférer immédiatement la personne chez un médecin, en lui montrant l’étiquette du produit.</w:t>
      </w:r>
    </w:p>
    <w:p>
      <w:pPr>
        <w:pStyle w:val="BodyText"/>
      </w:pPr>
      <w:r>
        <w:t xml:space="preserve">inhalation : • Éloigner immédiatement la personne de l’atmosphère polluée.</w:t>
      </w:r>
      <w:r>
        <w:t xml:space="preserve">• Appeler un médecin ou un centre antipoison.</w:t>
      </w:r>
      <w:r>
        <w:t xml:space="preserve">• Transporter la personne à l’extérieur et la maintenir dans une position confortable pour respirer.</w:t>
      </w:r>
    </w:p>
    <w:p>
      <w:r>
        <w:br w:type="page"/>
      </w:r>
    </w:p>
    <w:bookmarkEnd w:id="40"/>
    <w:bookmarkStart w:id="43" w:name="Xd3fd47f9279b52cc9d4b00e07bdfde0bea6594f"/>
    <w:p>
      <w:pPr>
        <w:pStyle w:val="Heading2"/>
      </w:pPr>
      <w:r>
        <w:t xml:space="preserve">Informations relatives aux substances dangereuses présentes</w:t>
      </w:r>
    </w:p>
    <w:bookmarkStart w:id="42" w:name="white-spirit"/>
    <w:p>
      <w:pPr>
        <w:pStyle w:val="Heading3"/>
      </w:pPr>
      <w:r>
        <w:t xml:space="preserve">White spirit</w:t>
      </w:r>
    </w:p>
    <w:p>
      <w:pPr>
        <w:pStyle w:val="FirstParagraph"/>
      </w:pPr>
      <w:r>
        <w:rPr>
          <w:b/>
          <w:bCs/>
        </w:rPr>
        <w:t xml:space="preserve">Identification</w:t>
      </w:r>
    </w:p>
    <w:p>
      <w:pPr>
        <w:pStyle w:val="Compact"/>
        <w:numPr>
          <w:ilvl w:val="0"/>
          <w:numId w:val="1006"/>
        </w:numPr>
      </w:pPr>
      <w:r>
        <w:t xml:space="preserve">N° CAS : None</w:t>
      </w:r>
    </w:p>
    <w:p>
      <w:pPr>
        <w:pStyle w:val="Compact"/>
        <w:numPr>
          <w:ilvl w:val="0"/>
          <w:numId w:val="1006"/>
        </w:numPr>
      </w:pPr>
      <w:r>
        <w:t xml:space="preserve">N° EINECS : 919-446-0</w:t>
      </w:r>
    </w:p>
    <w:p>
      <w:pPr>
        <w:pStyle w:val="FirstParagraph"/>
      </w:pPr>
      <w:r>
        <w:rPr>
          <w:b/>
          <w:bCs/>
        </w:rPr>
        <w:t xml:space="preserve">Concentration</w:t>
      </w:r>
      <w:r>
        <w:t xml:space="preserve"> </w:t>
      </w:r>
      <w:r>
        <w:t xml:space="preserve">:from 100.0 to 100.0</w:t>
      </w:r>
    </w:p>
    <w:p>
      <w:pPr>
        <w:pStyle w:val="BodyText"/>
      </w:pPr>
      <w:r>
        <w:rPr>
          <w:b/>
          <w:bCs/>
        </w:rPr>
        <w:t xml:space="preserve">Dangers</w:t>
      </w:r>
      <w:r>
        <w:t xml:space="preserve"> </w:t>
      </w:r>
      <w:r>
        <w:t xml:space="preserve">:</w:t>
      </w:r>
    </w:p>
    <w:p>
      <w:pPr>
        <w:numPr>
          <w:ilvl w:val="0"/>
          <w:numId w:val="1007"/>
        </w:numPr>
      </w:pPr>
      <w:r>
        <w:t xml:space="preserve">H226</w:t>
      </w:r>
      <w:r>
        <w:t xml:space="preserve"> </w:t>
      </w:r>
      <w:r>
        <w:t xml:space="preserve">Liquide et vapeurs inflammables.</w:t>
      </w:r>
    </w:p>
    <w:p>
      <w:pPr>
        <w:numPr>
          <w:ilvl w:val="0"/>
          <w:numId w:val="1007"/>
        </w:numPr>
      </w:pPr>
      <w:r>
        <w:t xml:space="preserve">H304</w:t>
      </w:r>
      <w:r>
        <w:t xml:space="preserve"> </w:t>
      </w:r>
      <w:r>
        <w:t xml:space="preserve">Peut être mortel en cas d’ingestion et de pénétration dans les voies respiratoires.</w:t>
      </w:r>
    </w:p>
    <w:p>
      <w:pPr>
        <w:numPr>
          <w:ilvl w:val="0"/>
          <w:numId w:val="1007"/>
        </w:numPr>
      </w:pPr>
      <w:r>
        <w:t xml:space="preserve">H336</w:t>
      </w:r>
      <w:r>
        <w:t xml:space="preserve"> </w:t>
      </w:r>
      <w:r>
        <w:t xml:space="preserve">Peut provoquer somnolence ou vertiges.</w:t>
      </w:r>
    </w:p>
    <w:p>
      <w:pPr>
        <w:numPr>
          <w:ilvl w:val="0"/>
          <w:numId w:val="1007"/>
        </w:numPr>
      </w:pPr>
      <w:r>
        <w:t xml:space="preserve">H372</w:t>
      </w:r>
      <w:r>
        <w:t xml:space="preserve"> </w:t>
      </w:r>
      <w:r>
        <w:t xml:space="preserve">Risque avéré d’effets graves pour les organes à la suite d’expositions répétées ou d’une exposition prolongée.</w:t>
      </w:r>
    </w:p>
    <w:p>
      <w:pPr>
        <w:numPr>
          <w:ilvl w:val="0"/>
          <w:numId w:val="1007"/>
        </w:numPr>
      </w:pPr>
      <w:r>
        <w:t xml:space="preserve">H411</w:t>
      </w:r>
      <w:r>
        <w:t xml:space="preserve"> </w:t>
      </w:r>
      <w:r>
        <w:t xml:space="preserve">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1" w:name="propriétés"/>
    <w:p>
      <w:pPr>
        <w:pStyle w:val="Heading4"/>
      </w:pPr>
      <w:r>
        <w:t xml:space="preserve">Propriétés</w:t>
      </w:r>
    </w:p>
    <w:p>
      <w:pPr>
        <w:pStyle w:val="FirstParagraph"/>
      </w:pPr>
      <w:r>
        <w:t xml:space="preserve">Pas d’informations disponible.</w:t>
      </w:r>
    </w:p>
    <w:bookmarkEnd w:id="41"/>
    <w:bookmarkEnd w:id="42"/>
    <w:bookmarkEnd w:id="43"/>
    <w:bookmarkStart w:id="44"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 Matériaux conseillés : • PVA (alcool polyvinyle) • Caoutchouc nitrile (copolymère butadiène-acrylonitrile, NBR) • Viton® (copolymère d’hexafluoropropylène et de fluorure de vinylidène). - Épaisseur des gants nitrile : &gt; 0,55 mm. - Temps de pénétration (pour les gants nitrile) : &gt; 480 min. - En cas de contact par projection : • Caoutchouc nitrile : épaisseur &gt; 0,38 mm et temps de pénétration &gt; 60 min. • Néoprène : épaisseur &gt; 0,75 mm et temps de pénétration &gt; 60 min.</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 Lunettes à protection latérale conformes à la norme NF EN 166.</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 Matériaux conseillés : • PVA (alcool polyvinyle) • Caoutchouc nitrile (copolymère butadiène-acrylonitrile, NBR) • Viton® (copolymère d’hexafluoropropylène et de fluorure de vinylidène). - Épaisseur des gants nitrile : &gt; 0,55 mm. - Temps de pénétration (pour les gants nitrile) : &gt; 480 min. - En cas de contact par projection : • Caoutchouc nitrile : épaisseur &gt; 0,38 mm et temps de pénétration &gt; 60 min. • Néoprène : épaisseur &gt; 0,75 mm et temps de pénétration &gt; 60 min.</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Masques à filtres combinés : porter un masque conforme à la norme NF EN 136. - Demi-masques : porter un demi-masque conforme à la norme NF EN 140. - Filtres anti-gaz et vapeurs (filtres combinés) conformes à la norme NF EN 14387: A. - Filtres à particules conformes à la norme NF EN 143 (type P2, blanc).</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 Porter des vêtements de protection appropriés (type non précisé, mais indiqués comme « vêtements de protection appropriés »).</w:t>
            </w:r>
          </w:p>
        </w:tc>
      </w:tr>
    </w:tbl>
    <w:bookmarkEnd w:id="44"/>
    <w:bookmarkStart w:id="45"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Utiliser le produit dans des zones bien ventilées ; se référer à la rubrique 8 pour les équipements et procédures de protection individuelle.</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le récipient fermé, dans un endroit sec et bien ventilé, éloigné de toute source d’ignition, de chaleur et de la lumière solaire directe. Toujours conserver dans des emballages d’un matériau identique à celui d’origine.</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Solvant</w:t>
            </w:r>
          </w:p>
        </w:tc>
      </w:tr>
    </w:tbl>
    <w:bookmarkEnd w:id="45"/>
    <w:bookmarkEnd w:id="46"/>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36" Type="http://schemas.openxmlformats.org/officeDocument/2006/relationships/image" Target="media/rId36.png"/><Relationship Id="rId23" Type="http://schemas.openxmlformats.org/officeDocument/2006/relationships/image" Target="media/rId23.png"/><Relationship Id="rId20" Type="http://schemas.openxmlformats.org/officeDocument/2006/relationships/image" Target="media/rId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2026-04-02T03:21:01Z</dcterms:created>
  <dcterms:modified xsi:type="dcterms:W3CDTF">2026-04-02T03:21:01Z</dcterms:modified>
</cp:coreProperties>
</file>

<file path=docProps/custom.xml><?xml version="1.0" encoding="utf-8"?>
<Properties xmlns="http://schemas.openxmlformats.org/officeDocument/2006/custom-properties" xmlns:vt="http://schemas.openxmlformats.org/officeDocument/2006/docPropsVTypes"/>
</file>