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glycerinewaterloook</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BRENNTAG N.V.</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2026-04-02</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0.6.0</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glycerinewaterloook</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37" w:name="analyse-des-dangers-glycerinewaterloook"/>
    <w:p>
      <w:pPr>
        <w:pStyle w:val="Heading1"/>
      </w:pPr>
      <w:r>
        <w:t xml:space="preserve">Analyse des dangers : glycerinewaterloook</w:t>
      </w:r>
    </w:p>
    <w:p>
      <w:pPr>
        <w:pStyle w:val="FirstParagraph"/>
      </w:pPr>
      <w:r>
        <w:t xml:space="preserve">Dans la suite, nous détaillons les dangers associés au produit</w:t>
      </w:r>
      <w:r>
        <w:t xml:space="preserve"> </w:t>
      </w:r>
      <w:r>
        <w:rPr>
          <w:b/>
          <w:bCs/>
        </w:rPr>
        <w:t xml:space="preserve">glycerinewaterloook</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BRENNTAG N.V.</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visqueux</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7</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Industrie chimique, cosmétique, pharmaceutique et alimentation.</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2013-10-28</w:t>
            </w:r>
          </w:p>
        </w:tc>
      </w:tr>
    </w:tbl>
    <w:p>
      <w:pPr>
        <w:pStyle w:val="BodyText"/>
      </w:pPr>
      <w:r>
        <w:t xml:space="preserve"> </w:t>
      </w:r>
      <w:r>
        <w:t xml:space="preserve">La FDS date du 2013-10-28. Elle a donc 12 an(s).</w:t>
      </w:r>
    </w:p>
    <w:p>
      <w:pPr>
        <w:pStyle w:val="BodyText"/>
      </w:pPr>
      <w:r>
        <w:t xml:space="preserve">La FDS ayant plus de 5 ans, il est</w:t>
      </w:r>
      <w:r>
        <w:t xml:space="preserve"> </w:t>
      </w:r>
      <w:r>
        <w:rPr>
          <w:i/>
          <w:iCs/>
        </w:rPr>
        <w:t xml:space="preserve">nécessaire</w:t>
      </w:r>
      <w:r>
        <w:t xml:space="preserve"> </w:t>
      </w:r>
      <w:r>
        <w:t xml:space="preserve">de demander au fournisseur de produire une FDS mise à jour.</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0"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Not Applicable</w:t>
      </w:r>
    </w:p>
    <w:p>
      <w:pPr>
        <w:pStyle w:val="BodyText"/>
      </w:pPr>
      <w:r>
        <w:rPr>
          <w:b/>
          <w:bCs/>
        </w:rPr>
        <w:t xml:space="preserve">Pictogrammes (SGH)</w:t>
      </w:r>
      <w:r>
        <w:t xml:space="preserve"> </w:t>
      </w:r>
      <w:r>
        <w:t xml:space="preserve">:</w:t>
      </w:r>
    </w:p>
    <w:p>
      <w:pPr>
        <w:pStyle w:val="BodyText"/>
      </w:pPr>
      <w:r>
        <w:rPr>
          <w:b/>
          <w:bCs/>
        </w:rPr>
        <w:t xml:space="preserve">Mentions de danger</w:t>
      </w:r>
      <w:r>
        <w:t xml:space="preserve"> </w:t>
      </w:r>
      <w:r>
        <w:t xml:space="preserve">:</w:t>
      </w:r>
    </w:p>
    <w:p>
      <w:pPr>
        <w:pStyle w:val="BodyText"/>
      </w:pPr>
      <w:r>
        <w:rPr>
          <w:b/>
          <w:bCs/>
        </w:rPr>
        <w:t xml:space="preserve">Conseils de prudence</w:t>
      </w:r>
      <w:r>
        <w:t xml:space="preserve"> </w:t>
      </w:r>
      <w:r>
        <w:t xml:space="preserve">:</w:t>
      </w:r>
    </w:p>
    <w:p>
      <w:pPr>
        <w:pStyle w:val="BodyText"/>
      </w:pPr>
      <w:r>
        <w:rPr>
          <w:b/>
          <w:bCs/>
        </w:rPr>
        <w:t xml:space="preserve">Transport</w:t>
      </w:r>
      <w:r>
        <w:t xml:space="preserve"> </w:t>
      </w:r>
      <w:r>
        <w:t xml:space="preserve">:</w:t>
      </w:r>
    </w:p>
    <w:p>
      <w:pPr>
        <w:pStyle w:val="Compact"/>
        <w:numPr>
          <w:ilvl w:val="0"/>
          <w:numId w:val="1003"/>
        </w:numPr>
      </w:pPr>
      <w:r>
        <w:t xml:space="preserve">ADR : -</w:t>
      </w:r>
    </w:p>
    <w:p>
      <w:pPr>
        <w:pStyle w:val="Compact"/>
        <w:numPr>
          <w:ilvl w:val="0"/>
          <w:numId w:val="1003"/>
        </w:numPr>
      </w:pPr>
      <w:r>
        <w:t xml:space="preserve">RID : -</w:t>
      </w:r>
    </w:p>
    <w:p>
      <w:pPr>
        <w:pStyle w:val="Compact"/>
        <w:numPr>
          <w:ilvl w:val="0"/>
          <w:numId w:val="1003"/>
        </w:numPr>
      </w:pPr>
      <w:r>
        <w:t xml:space="preserve">ADN : -</w:t>
      </w:r>
    </w:p>
    <w:p>
      <w:pPr>
        <w:pStyle w:val="Compact"/>
        <w:numPr>
          <w:ilvl w:val="0"/>
          <w:numId w:val="1003"/>
        </w:numPr>
      </w:pPr>
      <w:r>
        <w:t xml:space="preserve">IMDG : -</w:t>
      </w:r>
    </w:p>
    <w:p>
      <w:pPr>
        <w:pStyle w:val="Compact"/>
        <w:numPr>
          <w:ilvl w:val="0"/>
          <w:numId w:val="1003"/>
        </w:numPr>
      </w:pPr>
      <w:r>
        <w:t xml:space="preserve">IATA : -</w:t>
      </w:r>
    </w:p>
    <w:p>
      <w:pPr>
        <w:pStyle w:val="Compact"/>
        <w:numPr>
          <w:ilvl w:val="0"/>
          <w:numId w:val="1003"/>
        </w:numPr>
      </w:pPr>
      <w:r>
        <w:t xml:space="preserve">UN : -</w:t>
      </w:r>
    </w:p>
    <w:bookmarkEnd w:id="30"/>
    <w:bookmarkStart w:id="31" w:name="Xda6f178de632779b007ca26fa4959a763d2c7f4"/>
    <w:p>
      <w:pPr>
        <w:pStyle w:val="Heading2"/>
      </w:pPr>
      <w:r>
        <w:t xml:space="preserve">Dangers et/ou mesures par voie d’exposition</w:t>
      </w:r>
    </w:p>
    <w:p>
      <w:pPr>
        <w:pStyle w:val="FirstParagraph"/>
      </w:pPr>
      <w:r>
        <w:t xml:space="preserve">skin : Enlever les vêtements contaminés.</w:t>
      </w:r>
      <w:r>
        <w:t xml:space="preserve"> </w:t>
      </w:r>
      <w:r>
        <w:t xml:space="preserve">Laver la peau immédiatement à l’eau savonneuse (éviter de se doucher).</w:t>
      </w:r>
    </w:p>
    <w:p>
      <w:pPr>
        <w:pStyle w:val="BodyText"/>
      </w:pPr>
      <w:r>
        <w:t xml:space="preserve">eyes : Rincer immédiatement, longuement et abondamment (au moins 15 min.) à l’eau.</w:t>
      </w:r>
      <w:r>
        <w:t xml:space="preserve"> </w:t>
      </w:r>
      <w:r>
        <w:t xml:space="preserve">Enlever les verres de contact.</w:t>
      </w:r>
      <w:r>
        <w:t xml:space="preserve"> </w:t>
      </w:r>
      <w:r>
        <w:t xml:space="preserve">Consulter un oculiste après le rinçage.</w:t>
      </w:r>
    </w:p>
    <w:p>
      <w:pPr>
        <w:pStyle w:val="BodyText"/>
      </w:pPr>
      <w:r>
        <w:t xml:space="preserve">ingestion : Rincer la bouche à l’eau.</w:t>
      </w:r>
      <w:r>
        <w:t xml:space="preserve"> </w:t>
      </w:r>
      <w:r>
        <w:t xml:space="preserve">Appeler un médecin.</w:t>
      </w:r>
    </w:p>
    <w:p>
      <w:pPr>
        <w:pStyle w:val="BodyText"/>
      </w:pPr>
      <w:r>
        <w:t xml:space="preserve">inhalation : Amener la victime à l’air frais.</w:t>
      </w:r>
      <w:r>
        <w:t xml:space="preserve"> </w:t>
      </w:r>
      <w:r>
        <w:t xml:space="preserve">Tenir le patient au calme dans une position demi‑assise.</w:t>
      </w:r>
    </w:p>
    <w:p>
      <w:r>
        <w:br w:type="page"/>
      </w:r>
    </w:p>
    <w:bookmarkEnd w:id="31"/>
    <w:bookmarkStart w:id="34" w:name="Xd3fd47f9279b52cc9d4b00e07bdfde0bea6594f"/>
    <w:p>
      <w:pPr>
        <w:pStyle w:val="Heading2"/>
      </w:pPr>
      <w:r>
        <w:t xml:space="preserve">Informations relatives aux substances dangereuses présentes</w:t>
      </w:r>
    </w:p>
    <w:bookmarkStart w:id="33" w:name="glycérine"/>
    <w:p>
      <w:pPr>
        <w:pStyle w:val="Heading3"/>
      </w:pPr>
      <w:r>
        <w:t xml:space="preserve">Glycérine</w:t>
      </w:r>
    </w:p>
    <w:p>
      <w:pPr>
        <w:pStyle w:val="FirstParagraph"/>
      </w:pPr>
      <w:r>
        <w:rPr>
          <w:b/>
          <w:bCs/>
        </w:rPr>
        <w:t xml:space="preserve">Identification</w:t>
      </w:r>
    </w:p>
    <w:p>
      <w:pPr>
        <w:pStyle w:val="Compact"/>
        <w:numPr>
          <w:ilvl w:val="0"/>
          <w:numId w:val="1004"/>
        </w:numPr>
      </w:pPr>
      <w:r>
        <w:t xml:space="preserve">N° CAS : 56-81-5</w:t>
      </w:r>
    </w:p>
    <w:p>
      <w:pPr>
        <w:pStyle w:val="Compact"/>
        <w:numPr>
          <w:ilvl w:val="0"/>
          <w:numId w:val="1004"/>
        </w:numPr>
      </w:pPr>
      <w:r>
        <w:t xml:space="preserve">N° EINECS : 200-289-5</w:t>
      </w:r>
    </w:p>
    <w:p>
      <w:pPr>
        <w:pStyle w:val="FirstParagraph"/>
      </w:pPr>
      <w:r>
        <w:rPr>
          <w:b/>
          <w:bCs/>
        </w:rPr>
        <w:t xml:space="preserve">Concentration</w:t>
      </w:r>
      <w:r>
        <w:t xml:space="preserve"> </w:t>
      </w:r>
      <w:r>
        <w:t xml:space="preserve">:greater or equal to 99.5</w:t>
      </w:r>
    </w:p>
    <w:p>
      <w:pPr>
        <w:pStyle w:val="BodyText"/>
      </w:pPr>
      <w:r>
        <w:rPr>
          <w:b/>
          <w:bCs/>
        </w:rPr>
        <w:t xml:space="preserve">Dangers</w:t>
      </w:r>
      <w:r>
        <w:t xml:space="preserve"> </w:t>
      </w:r>
      <w:r>
        <w:t xml:space="preserve">:</w:t>
      </w:r>
    </w:p>
    <w:p>
      <w:pPr>
        <w:pStyle w:val="BodyText"/>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(mg/m³) : 10.0</w:t>
            </w:r>
          </w:p>
        </w:tc>
      </w:tr>
    </w:tbl>
    <w:bookmarkStart w:id="32" w:name="propriétés"/>
    <w:p>
      <w:pPr>
        <w:pStyle w:val="Heading4"/>
      </w:pPr>
      <w:r>
        <w:t xml:space="preserve">Propriétés</w:t>
      </w:r>
    </w:p>
    <w:p>
      <w:pPr>
        <w:pStyle w:val="FirstParagraph"/>
      </w:pPr>
      <w:r>
        <w:t xml:space="preserve">Pas d’informations disponible.</w:t>
      </w:r>
    </w:p>
    <w:bookmarkEnd w:id="32"/>
    <w:bookmarkEnd w:id="33"/>
    <w:bookmarkEnd w:id="34"/>
    <w:bookmarkStart w:id="35"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Gants de sécurité Matériau : caoutchouc nitrile. Temps de pénétration : &gt; 480 minutes (8 heures). Épaisseur : 0,11 mm.</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Lunettes de sécurité Lunettes de sécurité (sans mention de type de protection faciale supplémentaire).</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Vêtements de protection Vêtement de protection approprié (ex. combinaison, tablier, etc.) – aucune spécification de matériau ou d’épaisseur indiquée dans le texte. Gants de sécurité Matériau : caoutchouc nitrile. Temps de pénétration : &gt; 480 minutes (8 heures). Épaisseur : 0,11 mm.</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 Aucun masque respiratoire, filtre ou écran facial n’est mentionné dans la Section 8.</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Vêtements de protection Vêtement de protection approprié (ex. combinaison, tablier, etc.) – aucune spécification de matériau ou d’épaisseur indiquée dans le texte.</w:t>
            </w:r>
          </w:p>
        </w:tc>
      </w:tr>
    </w:tbl>
    <w:bookmarkEnd w:id="35"/>
    <w:bookmarkStart w:id="36"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 Éviter le contact avec la peau et les yeux. - Porter l’équipement individuel de protection recommandé (voir section 8). - Ne pas manger, ne pas boire et ne pas fumer pendant l’utilisation. - Se laver les mains avant et après avoir travaillé avec le produit. - Installer des rince‑oil et des douches de sécurité à proximité de toute source possible d’exposition.</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Conserver uniquement dans le récipient d’origine bien fermé, dans un endroit frais, bien ventilé et sec. Tous les produits dangereux devraient être placés sur un bac récepteur ou être entonnés. Conserver à l’écart des agents oxydants. Écarter toute source d’ignition (feu ouvert, étincelles, fumée, …).</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Industrie chimique, cosmétique, pharmaceutique et alimentation.</w:t>
            </w:r>
          </w:p>
        </w:tc>
      </w:tr>
    </w:tbl>
    <w:bookmarkEnd w:id="36"/>
    <w:bookmarkEnd w:id="37"/>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6148BD"/>
    <w:rsid w:val="00666DED"/>
    <w:rsid w:val="008165A3"/>
    <w:rsid w:val="00860E1D"/>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23" Type="http://schemas.openxmlformats.org/officeDocument/2006/relationships/image" Target="media/rId23.png"/><Relationship Id="rId20" Type="http://schemas.openxmlformats.org/officeDocument/2006/relationships/image" Target="media/rId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Words>
  <Characters>129</Characters>
  <Application>Microsoft Office Word</Application>
  <DocSecurity>0</DocSecurity>
  <Lines>11</Lines>
  <Paragraphs>13</Paragraphs>
  <ScaleCrop>false</ScaleCrop>
  <Company/>
  <LinksUpToDate>false</LinksUpToDate>
  <CharactersWithSpaces>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2026-04-02T03:36:33Z</dcterms:created>
  <dcterms:modified xsi:type="dcterms:W3CDTF">2026-04-02T03:36:33Z</dcterms:modified>
</cp:coreProperties>
</file>

<file path=docProps/custom.xml><?xml version="1.0" encoding="utf-8"?>
<Properties xmlns="http://schemas.openxmlformats.org/officeDocument/2006/custom-properties" xmlns:vt="http://schemas.openxmlformats.org/officeDocument/2006/docPropsVTypes"/>
</file>