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gojo-antibacbwok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GOJO Industries-Europe Ltd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gojo-antibacbwok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55" w:name="analyse-des-dangers-gojo-antibacbwok"/>
    <w:p>
      <w:pPr>
        <w:pStyle w:val="Heading1"/>
      </w:pPr>
      <w:r>
        <w:t xml:space="preserve">Analyse des dangers : gojo-antibacbwok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gojo-antibacbwok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GOJO Industries-Europe Ltd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 fluide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7.00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désinfectant.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2016-03-24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2016-03-24. Elle a donc 10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1" name="Picture"/>
            <a:graphic>
              <a:graphicData uri="http://schemas.openxmlformats.org/drawingml/2006/picture">
                <pic:pic>
                  <pic:nvPicPr>
                    <pic:cNvPr descr="templates/SGH07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3"/>
        </w:numPr>
      </w:pPr>
      <w:r>
        <w:t xml:space="preserve">H412</w:t>
      </w:r>
      <w:r>
        <w:t xml:space="preserve"> </w:t>
      </w:r>
      <w:r>
        <w:t xml:space="preserve">Nocif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P273</w:t>
      </w:r>
      <w:r>
        <w:t xml:space="preserve"> </w:t>
      </w:r>
      <w:r>
        <w:t xml:space="preserve">Éviter le rejet dans l’environnement.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4"/>
        </w:numPr>
      </w:pPr>
      <w:r>
        <w:t xml:space="preserve">P337+P313</w:t>
      </w:r>
      <w:r>
        <w:t xml:space="preserve"> </w:t>
      </w:r>
      <w:r>
        <w:t xml:space="preserve">Si l’irritation oculaire persiste: consulter un médecin.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pas disponible</w:t>
      </w:r>
    </w:p>
    <w:p>
      <w:pPr>
        <w:pStyle w:val="Compact"/>
        <w:numPr>
          <w:ilvl w:val="0"/>
          <w:numId w:val="1005"/>
        </w:numPr>
      </w:pPr>
      <w:r>
        <w:t xml:space="preserve">RID : pas disponible</w:t>
      </w:r>
    </w:p>
    <w:p>
      <w:pPr>
        <w:pStyle w:val="Compact"/>
        <w:numPr>
          <w:ilvl w:val="0"/>
          <w:numId w:val="1005"/>
        </w:numPr>
      </w:pPr>
      <w:r>
        <w:t xml:space="preserve">ADN : -</w:t>
      </w:r>
    </w:p>
    <w:p>
      <w:pPr>
        <w:pStyle w:val="Compact"/>
        <w:numPr>
          <w:ilvl w:val="0"/>
          <w:numId w:val="1005"/>
        </w:numPr>
      </w:pPr>
      <w:r>
        <w:t xml:space="preserve">IMDG : pas disponible</w:t>
      </w:r>
    </w:p>
    <w:p>
      <w:pPr>
        <w:pStyle w:val="Compact"/>
        <w:numPr>
          <w:ilvl w:val="0"/>
          <w:numId w:val="1005"/>
        </w:numPr>
      </w:pPr>
      <w:r>
        <w:t xml:space="preserve">IATA : pas disponible</w:t>
      </w:r>
    </w:p>
    <w:p>
      <w:pPr>
        <w:pStyle w:val="Compact"/>
        <w:numPr>
          <w:ilvl w:val="0"/>
          <w:numId w:val="1005"/>
        </w:numPr>
      </w:pPr>
      <w:r>
        <w:t xml:space="preserve">UN : pas disponible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- Aucune donnée disponible dans le document.</w:t>
      </w:r>
    </w:p>
    <w:p>
      <w:pPr>
        <w:pStyle w:val="BodyText"/>
      </w:pPr>
      <w:r>
        <w:t xml:space="preserve">eyes : Laver abondamment avec de l’eau douce et propre pendant 15 minutes en maintenant les paupières écartées. Si une douleur, une rougeur ou une gêne visuelle apparaissent, consulter un ophtalmologiste.</w:t>
      </w:r>
    </w:p>
    <w:p>
      <w:pPr>
        <w:pStyle w:val="BodyText"/>
      </w:pPr>
      <w:r>
        <w:t xml:space="preserve">ingestion : Consulter un médecin en lui montrant l’étiquette du produit.</w:t>
      </w:r>
    </w:p>
    <w:p>
      <w:pPr>
        <w:pStyle w:val="BodyText"/>
      </w:pPr>
      <w:r>
        <w:t xml:space="preserve">inhalation : - Aucune donnée disponible dans le document.</w:t>
      </w:r>
    </w:p>
    <w:p>
      <w:r>
        <w:br w:type="page"/>
      </w:r>
    </w:p>
    <w:bookmarkEnd w:id="34"/>
    <w:bookmarkStart w:id="52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6" w:name="peg-6-capryliccapric-glycerides"/>
    <w:p>
      <w:pPr>
        <w:pStyle w:val="Heading3"/>
      </w:pPr>
      <w:r>
        <w:t xml:space="preserve">PEG-6 CAPRYLIC/CAPRIC GLYCERIDES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56-81-5</w:t>
      </w:r>
    </w:p>
    <w:p>
      <w:pPr>
        <w:pStyle w:val="Compact"/>
        <w:numPr>
          <w:ilvl w:val="0"/>
          <w:numId w:val="1006"/>
        </w:numPr>
      </w:pPr>
      <w:r>
        <w:t xml:space="preserve">N° EINECS : 200-289-5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1.0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7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(mg/m³) : 10.0</w:t>
            </w:r>
          </w:p>
        </w:tc>
      </w:tr>
    </w:tbl>
    <w:bookmarkStart w:id="35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5"/>
    <w:bookmarkEnd w:id="36"/>
    <w:bookmarkStart w:id="38" w:name="glycerin"/>
    <w:p>
      <w:pPr>
        <w:pStyle w:val="Heading3"/>
      </w:pPr>
      <w:r>
        <w:t xml:space="preserve">GLYCERIN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8"/>
        </w:numPr>
      </w:pPr>
      <w:r>
        <w:t xml:space="preserve">N° CAS : 18472-51-0</w:t>
      </w:r>
    </w:p>
    <w:p>
      <w:pPr>
        <w:pStyle w:val="Compact"/>
        <w:numPr>
          <w:ilvl w:val="0"/>
          <w:numId w:val="1008"/>
        </w:numPr>
      </w:pPr>
      <w:r>
        <w:t xml:space="preserve">N° EINECS : 242-354-0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9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7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7"/>
    <w:bookmarkEnd w:id="38"/>
    <w:bookmarkStart w:id="40" w:name="chlorhexidine-digluconate"/>
    <w:p>
      <w:pPr>
        <w:pStyle w:val="Heading3"/>
      </w:pPr>
      <w:r>
        <w:t xml:space="preserve">CHLORHEXIDINE DIGLUCONATE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0"/>
        </w:numPr>
      </w:pPr>
      <w:r>
        <w:t xml:space="preserve">N° CAS : 7173-51-5</w:t>
      </w:r>
    </w:p>
    <w:p>
      <w:pPr>
        <w:pStyle w:val="Compact"/>
        <w:numPr>
          <w:ilvl w:val="0"/>
          <w:numId w:val="1010"/>
        </w:numPr>
      </w:pPr>
      <w:r>
        <w:t xml:space="preserve">N° EINECS : 230-525-2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1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11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9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9"/>
    <w:bookmarkEnd w:id="40"/>
    <w:bookmarkStart w:id="51" w:name="chlorure-de-didecyldimethylammonium"/>
    <w:p>
      <w:pPr>
        <w:pStyle w:val="Heading3"/>
      </w:pPr>
      <w:r>
        <w:t xml:space="preserve">CHLORURE DE DIDECYLDIMETHYLAMMONIUM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2"/>
        </w:numPr>
      </w:pPr>
      <w:r>
        <w:t xml:space="preserve">N° CAS : 67-63-0</w:t>
      </w:r>
    </w:p>
    <w:p>
      <w:pPr>
        <w:pStyle w:val="Compact"/>
        <w:numPr>
          <w:ilvl w:val="0"/>
          <w:numId w:val="1012"/>
        </w:numPr>
      </w:pPr>
      <w:r>
        <w:t xml:space="preserve">N° EINECS : 200-661-7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3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1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13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200.0 - VLE-8h (mg/m³) : 500.0 - VLE-15min (ppm) : 400.0 - VLE-15min (mg/m³) : 1000.0</w:t>
            </w:r>
          </w:p>
        </w:tc>
      </w:tr>
    </w:tbl>
    <w:bookmarkStart w:id="50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1">
        <w:r>
          <w:rPr>
            <w:rStyle w:val="Hyperlink"/>
            <w:color w:val="0856A0"/>
            <w:u w:val="single"/>
          </w:rPr>
          <w:t xml:space="preserve">Fiche n°66 - Propan-2-ol</w:t>
        </w:r>
      </w:hyperlink>
    </w:p>
    <w:p>
      <w:pPr>
        <w:numPr>
          <w:ilvl w:val="0"/>
          <w:numId w:val="1014"/>
        </w:numPr>
      </w:pPr>
      <w:hyperlink r:id="rId42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4"/>
        </w:numPr>
      </w:pPr>
      <w:hyperlink r:id="rId43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4"/>
        </w:numPr>
      </w:pPr>
      <w:hyperlink r:id="rId44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4"/>
        </w:numPr>
      </w:pPr>
      <w:hyperlink r:id="rId45">
        <w:r>
          <w:rPr>
            <w:rStyle w:val="Hyperlink"/>
            <w:color w:val="0856A0"/>
            <w:u w:val="single"/>
          </w:rPr>
          <w:t xml:space="preserve">Incendie - Explosion[16-18]</w:t>
        </w:r>
      </w:hyperlink>
    </w:p>
    <w:p>
      <w:pPr>
        <w:numPr>
          <w:ilvl w:val="0"/>
          <w:numId w:val="1014"/>
        </w:numPr>
      </w:pPr>
      <w:hyperlink r:id="rId46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4"/>
        </w:numPr>
      </w:pPr>
      <w:hyperlink r:id="rId47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4"/>
        </w:numPr>
      </w:pPr>
      <w:hyperlink r:id="rId48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4"/>
        </w:numPr>
      </w:pPr>
      <w:hyperlink r:id="rId49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0"/>
    <w:bookmarkEnd w:id="51"/>
    <w:bookmarkEnd w:id="52"/>
    <w:bookmarkStart w:id="53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• Utiliser des protections oculaires conçues contre les projections de liquide.</w:t>
            </w:r>
            <w:r>
              <w:rPr>
                <w:sz w:val="20"/>
                <w:szCs w:val="20"/>
              </w:rPr>
              <w:t xml:space="preserve">• En cas de danger accru, utiliser un écran facial pour la protection du visage.</w:t>
            </w:r>
            <w:r>
              <w:rPr>
                <w:sz w:val="20"/>
                <w:szCs w:val="20"/>
              </w:rPr>
              <w:t xml:space="preserve">• Le port de lunettes correctrices ne constitue pas une protection.</w:t>
            </w:r>
            <w:r>
              <w:rPr>
                <w:sz w:val="20"/>
                <w:szCs w:val="20"/>
              </w:rPr>
              <w:t xml:space="preserve">• Il est recommandé aux porteurs de lentilles de contact d’utiliser des verres correcteurs lors des travaux où ils peuvent être exposés à des vapeurs irritantes.</w:t>
            </w:r>
            <w:r>
              <w:rPr>
                <w:sz w:val="20"/>
                <w:szCs w:val="20"/>
              </w:rPr>
              <w:t xml:space="preserve">• Prévoir des fontaines oculaires dans les ateliers où le produit est manipulé de façon constante.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combinaisons: Le personnel portera un vêtement de travail régulièrement lavé.</w:t>
            </w:r>
          </w:p>
        </w:tc>
      </w:tr>
    </w:tbl>
    <w:bookmarkEnd w:id="53"/>
    <w:bookmarkStart w:id="54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Enlever et laver les vêtements contaminés avant réutilisation. - Prévenir les incendies : interdire l’accès aux personnes non autorisées. - Utiliser les équipements et procédures recommandés pour la protection individuelle (voir rubrique 8). - Observer les précautions indiquées sur l’étiquette ainsi que les réglementations de la protection du travail. - Éviter le contact du mélange avec les yeux. - Il est interdit de fumer, de manger et de boire dans les locaux où le mélange est utilisé.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Aucune donnée n’est disponible.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désinfectant.</w:t>
            </w:r>
          </w:p>
        </w:tc>
      </w:tr>
    </w:tbl>
    <w:bookmarkEnd w:id="54"/>
    <w:bookmarkEnd w:id="55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41" Type="http://schemas.openxmlformats.org/officeDocument/2006/relationships/hyperlink" Target="https://www.inrs.fr/publications/bdd/fichetox/fiche.html?refINRS=FICHETOX_66" TargetMode="External"/><Relationship Id="rId44" Type="http://schemas.openxmlformats.org/officeDocument/2006/relationships/hyperlink" Target="https://www.inrs.fr/publications/bdd/fichetox/fiche.html?refINRS=FICHETOX_66&amp;section=VLEPMesurage" TargetMode="External"/><Relationship Id="rId49" Type="http://schemas.openxmlformats.org/officeDocument/2006/relationships/hyperlink" Target="https://www.inrs.fr/publications/bdd/fichetox/fiche.html?refINRS=FICHETOX_66&amp;section=bibliographieAuteurs" TargetMode="External"/><Relationship Id="rId43" Type="http://schemas.openxmlformats.org/officeDocument/2006/relationships/hyperlink" Target="https://www.inrs.fr/publications/bdd/fichetox/fiche.html?refINRS=FICHETOX_66&amp;section=caracteristiques" TargetMode="External"/><Relationship Id="rId42" Type="http://schemas.openxmlformats.org/officeDocument/2006/relationships/hyperlink" Target="https://www.inrs.fr/publications/bdd/fichetox/fiche.html?refINRS=FICHETOX_66&amp;section=generalites" TargetMode="External"/><Relationship Id="rId45" Type="http://schemas.openxmlformats.org/officeDocument/2006/relationships/hyperlink" Target="https://www.inrs.fr/publications/bdd/fichetox/fiche.html?refINRS=FICHETOX_66&amp;section=incendieExplosion" TargetMode="External"/><Relationship Id="rId46" Type="http://schemas.openxmlformats.org/officeDocument/2006/relationships/hyperlink" Target="https://www.inrs.fr/publications/bdd/fichetox/fiche.html?refINRS=FICHETOX_66&amp;section=pathologieToxicologie" TargetMode="External"/><Relationship Id="rId48" Type="http://schemas.openxmlformats.org/officeDocument/2006/relationships/hyperlink" Target="https://www.inrs.fr/publications/bdd/fichetox/fiche.html?refINRS=FICHETOX_66&amp;section=recommandations" TargetMode="External"/><Relationship Id="rId47" Type="http://schemas.openxmlformats.org/officeDocument/2006/relationships/hyperlink" Target="https://www.inrs.fr/publications/bdd/fichetox/fiche.html?refINRS=FICHETOX_66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41" Type="http://schemas.openxmlformats.org/officeDocument/2006/relationships/hyperlink" Target="https://www.inrs.fr/publications/bdd/fichetox/fiche.html?refINRS=FICHETOX_66" TargetMode="External"/><Relationship Id="rId44" Type="http://schemas.openxmlformats.org/officeDocument/2006/relationships/hyperlink" Target="https://www.inrs.fr/publications/bdd/fichetox/fiche.html?refINRS=FICHETOX_66&amp;section=VLEPMesurage" TargetMode="External"/><Relationship Id="rId49" Type="http://schemas.openxmlformats.org/officeDocument/2006/relationships/hyperlink" Target="https://www.inrs.fr/publications/bdd/fichetox/fiche.html?refINRS=FICHETOX_66&amp;section=bibliographieAuteurs" TargetMode="External"/><Relationship Id="rId43" Type="http://schemas.openxmlformats.org/officeDocument/2006/relationships/hyperlink" Target="https://www.inrs.fr/publications/bdd/fichetox/fiche.html?refINRS=FICHETOX_66&amp;section=caracteristiques" TargetMode="External"/><Relationship Id="rId42" Type="http://schemas.openxmlformats.org/officeDocument/2006/relationships/hyperlink" Target="https://www.inrs.fr/publications/bdd/fichetox/fiche.html?refINRS=FICHETOX_66&amp;section=generalites" TargetMode="External"/><Relationship Id="rId45" Type="http://schemas.openxmlformats.org/officeDocument/2006/relationships/hyperlink" Target="https://www.inrs.fr/publications/bdd/fichetox/fiche.html?refINRS=FICHETOX_66&amp;section=incendieExplosion" TargetMode="External"/><Relationship Id="rId46" Type="http://schemas.openxmlformats.org/officeDocument/2006/relationships/hyperlink" Target="https://www.inrs.fr/publications/bdd/fichetox/fiche.html?refINRS=FICHETOX_66&amp;section=pathologieToxicologie" TargetMode="External"/><Relationship Id="rId48" Type="http://schemas.openxmlformats.org/officeDocument/2006/relationships/hyperlink" Target="https://www.inrs.fr/publications/bdd/fichetox/fiche.html?refINRS=FICHETOX_66&amp;section=recommandations" TargetMode="External"/><Relationship Id="rId47" Type="http://schemas.openxmlformats.org/officeDocument/2006/relationships/hyperlink" Target="https://www.inrs.fr/publications/bdd/fichetox/fiche.html?refINRS=FICHETOX_66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2026-04-02T03:42:07Z</dcterms:created>
  <dcterms:modified xsi:type="dcterms:W3CDTF">2026-04-02T03:42:07Z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