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goliathgel-fr2018-fs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BASF SE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goliathgel-fr2018-fs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6" w:name="analyse-des-dangers-goliathgel-fr2018-fs"/>
    <w:p>
      <w:pPr>
        <w:pStyle w:val="Heading1"/>
      </w:pPr>
      <w:r>
        <w:t xml:space="preserve">Analyse des dangers : goliathgel-fr2018-fs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goliathgel-fr2018-fs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BASF SE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gel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visqueux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5 - 7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Biocide, insecticide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2018-03-19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2018-03-19.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P391</w:t>
      </w:r>
      <w:r>
        <w:t xml:space="preserve"> </w:t>
      </w:r>
      <w:r>
        <w:t xml:space="preserve">Recueillir le produit répandu.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9, EHSM</w:t>
      </w:r>
    </w:p>
    <w:p>
      <w:pPr>
        <w:pStyle w:val="Compact"/>
        <w:numPr>
          <w:ilvl w:val="0"/>
          <w:numId w:val="1005"/>
        </w:numPr>
      </w:pPr>
      <w:r>
        <w:t xml:space="preserve">RID : 9, EHSM</w:t>
      </w:r>
    </w:p>
    <w:p>
      <w:pPr>
        <w:pStyle w:val="Compact"/>
        <w:numPr>
          <w:ilvl w:val="0"/>
          <w:numId w:val="1005"/>
        </w:numPr>
      </w:pPr>
      <w:r>
        <w:t xml:space="preserve">ADN : 9, EHSM</w:t>
      </w:r>
    </w:p>
    <w:p>
      <w:pPr>
        <w:pStyle w:val="Compact"/>
        <w:numPr>
          <w:ilvl w:val="0"/>
          <w:numId w:val="1005"/>
        </w:numPr>
      </w:pPr>
      <w:r>
        <w:t xml:space="preserve">IMDG : 9, EHSM</w:t>
      </w:r>
    </w:p>
    <w:p>
      <w:pPr>
        <w:pStyle w:val="Compact"/>
        <w:numPr>
          <w:ilvl w:val="0"/>
          <w:numId w:val="1005"/>
        </w:numPr>
      </w:pPr>
      <w:r>
        <w:t xml:space="preserve">IATA : 9, EHSM</w:t>
      </w:r>
    </w:p>
    <w:p>
      <w:pPr>
        <w:pStyle w:val="Compact"/>
        <w:numPr>
          <w:ilvl w:val="0"/>
          <w:numId w:val="1005"/>
        </w:numPr>
      </w:pPr>
      <w:r>
        <w:t xml:space="preserve">UN : UN 3082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Laver à fond avec de l’eau et du savon.</w:t>
      </w:r>
    </w:p>
    <w:p>
      <w:pPr>
        <w:pStyle w:val="BodyText"/>
      </w:pPr>
      <w:r>
        <w:t xml:space="preserve">eyes : • Laver à fond à l’eau courante pendant au moins 15 minutes en maintenant les paupières écartées.</w:t>
      </w:r>
    </w:p>
    <w:p>
      <w:pPr>
        <w:pStyle w:val="BodyText"/>
      </w:pPr>
      <w:r>
        <w:t xml:space="preserve">ingestion : • Se rincer la bouche et boire de l’eau abondamment.</w:t>
      </w:r>
    </w:p>
    <w:p>
      <w:pPr>
        <w:pStyle w:val="BodyText"/>
      </w:pPr>
      <w:r>
        <w:t xml:space="preserve">inhalation : • Repos, air frais.</w:t>
      </w:r>
    </w:p>
    <w:p>
      <w:r>
        <w:br w:type="page"/>
      </w:r>
    </w:p>
    <w:bookmarkEnd w:id="31"/>
    <w:bookmarkStart w:id="43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X134456aba6cbae3ba0423b2980f4cec87fcec71"/>
    <w:p>
      <w:pPr>
        <w:pStyle w:val="Heading3"/>
      </w:pPr>
      <w:r>
        <w:t xml:space="preserve">fipronil (ISO); 5-amino-1-[2,6-dichloro-4-(trifluorométhyl)phényl]-4-[(trifluorométhyl)sulfinyl]-1H-pyrazole-3-carbonitrile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120068-37-3</w:t>
      </w:r>
    </w:p>
    <w:p>
      <w:pPr>
        <w:pStyle w:val="Compact"/>
        <w:numPr>
          <w:ilvl w:val="0"/>
          <w:numId w:val="1006"/>
        </w:numPr>
      </w:pPr>
      <w:r>
        <w:t xml:space="preserve">N° EINECS : 424-610-5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0.05 to 0.1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H301</w:t>
      </w:r>
      <w:r>
        <w:t xml:space="preserve"> </w:t>
      </w:r>
      <w:r>
        <w:t xml:space="preserve">Toxique en cas d’ingestion.</w:t>
      </w:r>
    </w:p>
    <w:p>
      <w:pPr>
        <w:numPr>
          <w:ilvl w:val="0"/>
          <w:numId w:val="1007"/>
        </w:numPr>
      </w:pPr>
      <w:r>
        <w:t xml:space="preserve">H311</w:t>
      </w:r>
      <w:r>
        <w:t xml:space="preserve"> </w:t>
      </w:r>
      <w:r>
        <w:t xml:space="preserve">Toxique par contact cutané.</w:t>
      </w:r>
    </w:p>
    <w:p>
      <w:pPr>
        <w:numPr>
          <w:ilvl w:val="0"/>
          <w:numId w:val="1007"/>
        </w:numPr>
      </w:pPr>
      <w:r>
        <w:t xml:space="preserve">H330</w:t>
      </w:r>
      <w:r>
        <w:t xml:space="preserve"> </w:t>
      </w:r>
      <w:r>
        <w:t xml:space="preserve">Fatal if inhaled</w:t>
      </w:r>
    </w:p>
    <w:p>
      <w:pPr>
        <w:numPr>
          <w:ilvl w:val="0"/>
          <w:numId w:val="1007"/>
        </w:numPr>
      </w:pPr>
      <w:r>
        <w:t xml:space="preserve">H372</w:t>
      </w:r>
      <w:r>
        <w:t xml:space="preserve"> </w:t>
      </w:r>
      <w:r>
        <w:t xml:space="preserve">Risque avéré d’effets graves pour les organes à la suite d’expositions répétées ou d’une exposition prolongée.</w:t>
      </w:r>
    </w:p>
    <w:p>
      <w:pPr>
        <w:numPr>
          <w:ilvl w:val="0"/>
          <w:numId w:val="1007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7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2">
        <w:r>
          <w:rPr>
            <w:rStyle w:val="Hyperlink"/>
            <w:color w:val="0856A0"/>
            <w:u w:val="single"/>
          </w:rPr>
          <w:t xml:space="preserve">Fiche n°286 - Fipronil</w:t>
        </w:r>
      </w:hyperlink>
    </w:p>
    <w:p>
      <w:pPr>
        <w:numPr>
          <w:ilvl w:val="0"/>
          <w:numId w:val="1008"/>
        </w:numPr>
      </w:pPr>
      <w:hyperlink r:id="rId3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3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3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36">
        <w:r>
          <w:rPr>
            <w:rStyle w:val="Hyperlink"/>
            <w:color w:val="0856A0"/>
            <w:u w:val="single"/>
          </w:rPr>
          <w:t xml:space="preserve">Incendie - Explosion[3, 8-10]</w:t>
        </w:r>
      </w:hyperlink>
    </w:p>
    <w:p>
      <w:pPr>
        <w:numPr>
          <w:ilvl w:val="0"/>
          <w:numId w:val="1008"/>
        </w:numPr>
      </w:pPr>
      <w:hyperlink r:id="rId3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3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1"/>
    <w:bookmarkEnd w:id="42"/>
    <w:bookmarkEnd w:id="43"/>
    <w:bookmarkStart w:id="44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Matériaux conformes à la norme EN 374 (résistants aux agents chimiques). - Indice de protection = 6 (conseillé pour un contact direct prolongé). - Temps de perçage = 480 min selon EN 374. - Exemples de matériaux et épaisseurs:  • Caoutchouc nitrile : 0,4 mm  • Caoutchouc chloroprène : 0,5 mm  • Caoutchouc butyle : 0,7 mm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Lunettes à monture avec protections latérales. - Conformes à la norme EN 166 (sécurité des yeux)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Matériaux conformes à la norme EN 374 (résistants aux agents chimiques). - Indice de protection = 6 (conseillé pour un contact direct prolongé). - Temps de perçage = 480 min selon EN 374. - Exemples de matériaux et épaisseurs:  • Caoutchouc nitrile : 0,4 mm  • Caoutchouc chloroprène : 0,5 mm  • Caoutchouc butyle : 0,7 mm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Protection respiratoire non nécessaire (le produit ne nécessite pas de masque)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Choisir en fonction de l’activité et du type d’exposition:  • Tablier  • Bottes de protection  • Combinaison de protection contre les produits chimiques   – Conforme à la norme EN 14605 en cas d’éclaboussures.   – Conforme à la norme EN ISO 13982 en cas de poussières</w:t>
            </w:r>
          </w:p>
        </w:tc>
      </w:tr>
    </w:tbl>
    <w:bookmarkEnd w:id="44"/>
    <w:bookmarkStart w:id="45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Aucune mesure particulière n’est nécessaire si le stockage et la manipulation sont appropriés. - Veiller à une bonne aération et ventilation de l’espace de stockage et du lieu de travail. - Ne pas manger, ne pas boire et ne pas fumer pendant l’utilisation. - Se laver les mains et/ou le visage avant les pauses et après le travail.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 : - Séparer du matériel alimentaire, y compris les aliments pour animaux. - Conserver à l’écart de la chaleur et protéger de l’action directe des rayons de soleil. - Durée de stockage maximale : 36 mois. - Ne pas dépasser 35 °C ; les caractéristiques du produit peuvent se modifier si la température est supérieure à cette valeur pendant une durée prolongée. Incompatibilités à éviter : - Bases fortes - Acides forts - Oxydants puissants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Biocide, insecticide</w:t>
            </w:r>
          </w:p>
        </w:tc>
      </w:tr>
    </w:tbl>
    <w:bookmarkEnd w:id="45"/>
    <w:bookmarkEnd w:id="46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2" Type="http://schemas.openxmlformats.org/officeDocument/2006/relationships/hyperlink" Target="https://www.inrs.fr/publications/bdd/fichetox/fiche.html?refINRS=FICHETOX_286" TargetMode="External"/><Relationship Id="rId35" Type="http://schemas.openxmlformats.org/officeDocument/2006/relationships/hyperlink" Target="https://www.inrs.fr/publications/bdd/fichetox/fiche.html?refINRS=FICHETOX_286&amp;section=VLEPMesurage" TargetMode="External"/><Relationship Id="rId40" Type="http://schemas.openxmlformats.org/officeDocument/2006/relationships/hyperlink" Target="https://www.inrs.fr/publications/bdd/fichetox/fiche.html?refINRS=FICHETOX_286&amp;section=bibliographieAuteurs" TargetMode="External"/><Relationship Id="rId34" Type="http://schemas.openxmlformats.org/officeDocument/2006/relationships/hyperlink" Target="https://www.inrs.fr/publications/bdd/fichetox/fiche.html?refINRS=FICHETOX_286&amp;section=caracteristiques" TargetMode="External"/><Relationship Id="rId33" Type="http://schemas.openxmlformats.org/officeDocument/2006/relationships/hyperlink" Target="https://www.inrs.fr/publications/bdd/fichetox/fiche.html?refINRS=FICHETOX_286&amp;section=generalites" TargetMode="External"/><Relationship Id="rId36" Type="http://schemas.openxmlformats.org/officeDocument/2006/relationships/hyperlink" Target="https://www.inrs.fr/publications/bdd/fichetox/fiche.html?refINRS=FICHETOX_286&amp;section=incendieExplosion" TargetMode="External"/><Relationship Id="rId37" Type="http://schemas.openxmlformats.org/officeDocument/2006/relationships/hyperlink" Target="https://www.inrs.fr/publications/bdd/fichetox/fiche.html?refINRS=FICHETOX_286&amp;section=pathologieToxicologie" TargetMode="External"/><Relationship Id="rId39" Type="http://schemas.openxmlformats.org/officeDocument/2006/relationships/hyperlink" Target="https://www.inrs.fr/publications/bdd/fichetox/fiche.html?refINRS=FICHETOX_286&amp;section=recommandations" TargetMode="External"/><Relationship Id="rId38" Type="http://schemas.openxmlformats.org/officeDocument/2006/relationships/hyperlink" Target="https://www.inrs.fr/publications/bdd/fichetox/fiche.html?refINRS=FICHETOX_28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2" Type="http://schemas.openxmlformats.org/officeDocument/2006/relationships/hyperlink" Target="https://www.inrs.fr/publications/bdd/fichetox/fiche.html?refINRS=FICHETOX_286" TargetMode="External"/><Relationship Id="rId35" Type="http://schemas.openxmlformats.org/officeDocument/2006/relationships/hyperlink" Target="https://www.inrs.fr/publications/bdd/fichetox/fiche.html?refINRS=FICHETOX_286&amp;section=VLEPMesurage" TargetMode="External"/><Relationship Id="rId40" Type="http://schemas.openxmlformats.org/officeDocument/2006/relationships/hyperlink" Target="https://www.inrs.fr/publications/bdd/fichetox/fiche.html?refINRS=FICHETOX_286&amp;section=bibliographieAuteurs" TargetMode="External"/><Relationship Id="rId34" Type="http://schemas.openxmlformats.org/officeDocument/2006/relationships/hyperlink" Target="https://www.inrs.fr/publications/bdd/fichetox/fiche.html?refINRS=FICHETOX_286&amp;section=caracteristiques" TargetMode="External"/><Relationship Id="rId33" Type="http://schemas.openxmlformats.org/officeDocument/2006/relationships/hyperlink" Target="https://www.inrs.fr/publications/bdd/fichetox/fiche.html?refINRS=FICHETOX_286&amp;section=generalites" TargetMode="External"/><Relationship Id="rId36" Type="http://schemas.openxmlformats.org/officeDocument/2006/relationships/hyperlink" Target="https://www.inrs.fr/publications/bdd/fichetox/fiche.html?refINRS=FICHETOX_286&amp;section=incendieExplosion" TargetMode="External"/><Relationship Id="rId37" Type="http://schemas.openxmlformats.org/officeDocument/2006/relationships/hyperlink" Target="https://www.inrs.fr/publications/bdd/fichetox/fiche.html?refINRS=FICHETOX_286&amp;section=pathologieToxicologie" TargetMode="External"/><Relationship Id="rId39" Type="http://schemas.openxmlformats.org/officeDocument/2006/relationships/hyperlink" Target="https://www.inrs.fr/publications/bdd/fichetox/fiche.html?refINRS=FICHETOX_286&amp;section=recommandations" TargetMode="External"/><Relationship Id="rId38" Type="http://schemas.openxmlformats.org/officeDocument/2006/relationships/hyperlink" Target="https://www.inrs.fr/publications/bdd/fichetox/fiche.html?refINRS=FICHETOX_28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2026-04-02T03:44:19Z</dcterms:created>
  <dcterms:modified xsi:type="dcterms:W3CDTF">2026-04-02T03:44:19Z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