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griffon-kolmatrosieresok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griffon-kolmatrosieresok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Xea26235ba0ed285582a4b7b88e38ce5e808fa8e"/>
    <w:p>
      <w:pPr>
        <w:pStyle w:val="Heading1"/>
      </w:pPr>
      <w:r>
        <w:t xml:space="preserve">Analyse des dangers : griffon-kolmatrosieresok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griffon-kolmatrosieresok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pâteuse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consistance de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d’étanchéité.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2018-02-10.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 règle générale, le produit n’irrite pas la peau. (Aucune mesure particulière n’est requise.)</w:t>
      </w:r>
    </w:p>
    <w:p>
      <w:pPr>
        <w:pStyle w:val="BodyText"/>
      </w:pPr>
      <w:r>
        <w:t xml:space="preserve">eyes : - Rincer les yeux pendant plusieurs minutes sous l’eau courante en écartant bien les paupières.</w:t>
      </w:r>
      <w:r>
        <w:t xml:space="preserve"> </w:t>
      </w:r>
      <w:r>
        <w:t xml:space="preserve">- Si les troubles persistent, consulter un médecin.</w:t>
      </w:r>
    </w:p>
    <w:p>
      <w:pPr>
        <w:pStyle w:val="BodyText"/>
      </w:pPr>
      <w:r>
        <w:t xml:space="preserve">ingestion : - Ne pas faire vomir.</w:t>
      </w:r>
      <w:r>
        <w:t xml:space="preserve"> </w:t>
      </w:r>
      <w:r>
        <w:t xml:space="preserve">- Demander d’urgence une assistance médicale.</w:t>
      </w:r>
    </w:p>
    <w:p>
      <w:pPr>
        <w:pStyle w:val="BodyText"/>
      </w:pPr>
      <w:r>
        <w:t xml:space="preserve">inhalation : - Donner de l’air frais.</w:t>
      </w:r>
      <w:r>
        <w:t xml:space="preserve"> </w:t>
      </w:r>
      <w:r>
        <w:t xml:space="preserve">- Assister à la respiration si nécessaire.</w:t>
      </w:r>
      <w:r>
        <w:t xml:space="preserve"> </w:t>
      </w:r>
      <w:r>
        <w:t xml:space="preserve">- Tenir le malade au chaud.</w:t>
      </w:r>
      <w:r>
        <w:t xml:space="preserve"> </w:t>
      </w:r>
      <w:r>
        <w:t xml:space="preserve">- En cas de troubles persistants, consulter un médecin.</w:t>
      </w:r>
    </w:p>
    <w:p>
      <w:r>
        <w:br w:type="page"/>
      </w:r>
    </w:p>
    <w:bookmarkEnd w:id="34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pumice"/>
    <w:p>
      <w:pPr>
        <w:pStyle w:val="Heading3"/>
      </w:pPr>
      <w:r>
        <w:t xml:space="preserve">pumice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1332-09-8</w:t>
      </w:r>
    </w:p>
    <w:p>
      <w:pPr>
        <w:pStyle w:val="Compact"/>
        <w:numPr>
          <w:ilvl w:val="0"/>
          <w:numId w:val="1006"/>
        </w:numPr>
      </w:pPr>
      <w:r>
        <w:t xml:space="preserve">N° EINECS : 603-719-3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cement-portland-produits-chimiques"/>
    <w:p>
      <w:pPr>
        <w:pStyle w:val="Heading3"/>
      </w:pPr>
      <w:r>
        <w:t xml:space="preserve">cement Portland, produits chimiques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65997-15-1</w:t>
      </w:r>
    </w:p>
    <w:p>
      <w:pPr>
        <w:pStyle w:val="Compact"/>
        <w:numPr>
          <w:ilvl w:val="0"/>
          <w:numId w:val="1008"/>
        </w:numPr>
      </w:pPr>
      <w:r>
        <w:t xml:space="preserve">N° EINECS : 266-043-4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naphthenic-acids-zinc-salts"/>
    <w:p>
      <w:pPr>
        <w:pStyle w:val="Heading3"/>
      </w:pPr>
      <w:r>
        <w:t xml:space="preserve">Naphthenic acids, zinc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12001-85-3</w:t>
      </w:r>
    </w:p>
    <w:p>
      <w:pPr>
        <w:pStyle w:val="Compact"/>
        <w:numPr>
          <w:ilvl w:val="0"/>
          <w:numId w:val="1010"/>
        </w:numPr>
      </w:pPr>
      <w:r>
        <w:t xml:space="preserve">N° EINECS : 234-409-2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51" w:name="oxyde-de-zinc"/>
    <w:p>
      <w:pPr>
        <w:pStyle w:val="Heading3"/>
      </w:pPr>
      <w:r>
        <w:t xml:space="preserve">oxyde de 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1314-13-2</w:t>
      </w:r>
    </w:p>
    <w:p>
      <w:pPr>
        <w:pStyle w:val="Compact"/>
        <w:numPr>
          <w:ilvl w:val="0"/>
          <w:numId w:val="1012"/>
        </w:numPr>
      </w:pPr>
      <w:r>
        <w:t xml:space="preserve">N° EINECS : 215-222-5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2.0 - VLE-15min (mg/m³) : 10.0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14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14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Start w:id="53" w:name="n-1-naphthylaniline"/>
    <w:p>
      <w:pPr>
        <w:pStyle w:val="Heading3"/>
      </w:pPr>
      <w:r>
        <w:t xml:space="preserve">N-1-naphthylaniline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90-30-2</w:t>
      </w:r>
    </w:p>
    <w:p>
      <w:pPr>
        <w:pStyle w:val="Compact"/>
        <w:numPr>
          <w:ilvl w:val="0"/>
          <w:numId w:val="1015"/>
        </w:numPr>
      </w:pPr>
      <w:r>
        <w:t xml:space="preserve">N° EINECS : 201-983-0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6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6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1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6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recommandée : &gt; 0,12 mm.</w:t>
            </w:r>
            <w:r>
              <w:rPr>
                <w:sz w:val="20"/>
                <w:szCs w:val="20"/>
              </w:rPr>
              <w:t xml:space="preserve">• Temps de pénétration : doit être déterminé par le fabricant des gants et respecter un minimum de 10 minutes (selon la norme EN 374 section 3, taux 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hermétiques Utiliser des lunettes hermétiques pour éviter tout contact avec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recommandée : &gt; 0,12 mm.</w:t>
            </w:r>
            <w:r>
              <w:rPr>
                <w:sz w:val="20"/>
                <w:szCs w:val="20"/>
              </w:rPr>
              <w:t xml:space="preserve">• Temps de pénétration : doit être déterminé par le fabricant des gants et respecter un minimum de 10 minutes (selon la norme EN 374 section 3, taux 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Non nécessaire (la section indique que la protection respiratoire n’est pas requise).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Aucun vêtement spécifique n’est mentionné dans la section 8.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Veiller à une bonne ventilation/aspersion du poste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(incluant incompatibilités éventuelles) - Aucun exigence particulière concernant les lieux ou les conteneurs de stockage. - Pas de nécessité de stockage commun. - Les emballages doivent être tenus hermétiquement fermés. - Aucune incompatibilité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d’étanchéité.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publications/bdd/fichetox/fiche.html?refINRS=FICHETOX_75" TargetMode="External"/><Relationship Id="rId44" Type="http://schemas.openxmlformats.org/officeDocument/2006/relationships/hyperlink" Target="https://www.inrs.fr/publications/bdd/fichetox/fiche.html?refINRS=FICHETOX_75&amp;section=VLEPMesurage" TargetMode="External"/><Relationship Id="rId49" Type="http://schemas.openxmlformats.org/officeDocument/2006/relationships/hyperlink" Target="https://www.inrs.fr/publications/bdd/fichetox/fiche.html?refINRS=FICHETOX_75&amp;section=bibliographieAuteurs" TargetMode="External"/><Relationship Id="rId43" Type="http://schemas.openxmlformats.org/officeDocument/2006/relationships/hyperlink" Target="https://www.inrs.fr/publications/bdd/fichetox/fiche.html?refINRS=FICHETOX_75&amp;section=caracteristiques" TargetMode="External"/><Relationship Id="rId42" Type="http://schemas.openxmlformats.org/officeDocument/2006/relationships/hyperlink" Target="https://www.inrs.fr/publications/bdd/fichetox/fiche.html?refINRS=FICHETOX_75&amp;section=generalites" TargetMode="External"/><Relationship Id="rId45" Type="http://schemas.openxmlformats.org/officeDocument/2006/relationships/hyperlink" Target="https://www.inrs.fr/publications/bdd/fichetox/fiche.html?refINRS=FICHETOX_75&amp;section=incendieExplosion" TargetMode="External"/><Relationship Id="rId46" Type="http://schemas.openxmlformats.org/officeDocument/2006/relationships/hyperlink" Target="https://www.inrs.fr/publications/bdd/fichetox/fiche.html?refINRS=FICHETOX_75&amp;section=pathologieToxicologie" TargetMode="External"/><Relationship Id="rId48" Type="http://schemas.openxmlformats.org/officeDocument/2006/relationships/hyperlink" Target="https://www.inrs.fr/publications/bdd/fichetox/fiche.html?refINRS=FICHETOX_75&amp;section=recommandations" TargetMode="External"/><Relationship Id="rId47" Type="http://schemas.openxmlformats.org/officeDocument/2006/relationships/hyperlink" Target="https://www.inrs.fr/publications/bdd/fichetox/fiche.html?refINRS=FICHETOX_7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publications/bdd/fichetox/fiche.html?refINRS=FICHETOX_75" TargetMode="External"/><Relationship Id="rId44" Type="http://schemas.openxmlformats.org/officeDocument/2006/relationships/hyperlink" Target="https://www.inrs.fr/publications/bdd/fichetox/fiche.html?refINRS=FICHETOX_75&amp;section=VLEPMesurage" TargetMode="External"/><Relationship Id="rId49" Type="http://schemas.openxmlformats.org/officeDocument/2006/relationships/hyperlink" Target="https://www.inrs.fr/publications/bdd/fichetox/fiche.html?refINRS=FICHETOX_75&amp;section=bibliographieAuteurs" TargetMode="External"/><Relationship Id="rId43" Type="http://schemas.openxmlformats.org/officeDocument/2006/relationships/hyperlink" Target="https://www.inrs.fr/publications/bdd/fichetox/fiche.html?refINRS=FICHETOX_75&amp;section=caracteristiques" TargetMode="External"/><Relationship Id="rId42" Type="http://schemas.openxmlformats.org/officeDocument/2006/relationships/hyperlink" Target="https://www.inrs.fr/publications/bdd/fichetox/fiche.html?refINRS=FICHETOX_75&amp;section=generalites" TargetMode="External"/><Relationship Id="rId45" Type="http://schemas.openxmlformats.org/officeDocument/2006/relationships/hyperlink" Target="https://www.inrs.fr/publications/bdd/fichetox/fiche.html?refINRS=FICHETOX_75&amp;section=incendieExplosion" TargetMode="External"/><Relationship Id="rId46" Type="http://schemas.openxmlformats.org/officeDocument/2006/relationships/hyperlink" Target="https://www.inrs.fr/publications/bdd/fichetox/fiche.html?refINRS=FICHETOX_75&amp;section=pathologieToxicologie" TargetMode="External"/><Relationship Id="rId48" Type="http://schemas.openxmlformats.org/officeDocument/2006/relationships/hyperlink" Target="https://www.inrs.fr/publications/bdd/fichetox/fiche.html?refINRS=FICHETOX_75&amp;section=recommandations" TargetMode="External"/><Relationship Id="rId47" Type="http://schemas.openxmlformats.org/officeDocument/2006/relationships/hyperlink" Target="https://www.inrs.fr/publications/bdd/fichetox/fiche.html?refINRS=FICHETOX_7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2026-04-02T03:47:44Z</dcterms:created>
  <dcterms:modified xsi:type="dcterms:W3CDTF">2026-04-02T03:47:44Z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