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griffon-t88rosieresok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Bison QESH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griffon-t88rosieresok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2" w:name="X44d399cf7fdc8fe30c93a225dcb48fc36626887"/>
    <w:p>
      <w:pPr>
        <w:pStyle w:val="Heading1"/>
      </w:pPr>
      <w:r>
        <w:t xml:space="preserve">Analyse des dangers : griffon-t88rosieresok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griffon-t88rosieresok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Bison QESH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Emploi de la substance / de la préparation : Colle.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2018-02-10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2018-02-10.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3"/>
        </w:numPr>
      </w:pPr>
      <w:r>
        <w:t xml:space="preserve">EUH066</w:t>
      </w:r>
      <w:r>
        <w:t xml:space="preserve"> </w:t>
      </w:r>
      <w:r>
        <w:t xml:space="preserve">L’exposition répétée peut provoquer dessèchement ou gerçures de la peau.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P370+P378</w:t>
      </w:r>
      <w:r>
        <w:t xml:space="preserve"> </w:t>
      </w:r>
      <w:r>
        <w:t xml:space="preserve">En cas d’incendie:</w:t>
      </w:r>
    </w:p>
    <w:p>
      <w:pPr>
        <w:numPr>
          <w:ilvl w:val="0"/>
          <w:numId w:val="1004"/>
        </w:numPr>
      </w:pPr>
      <w:r>
        <w:t xml:space="preserve">P403+P233</w:t>
      </w:r>
      <w:r>
        <w:t xml:space="preserve"> </w:t>
      </w:r>
      <w:r>
        <w:t xml:space="preserve">Stocker dans un endroit bien ventilé. Maintenir le récipient fermé de manière étanche.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Classe 3 (Liquides inflammables)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Classe 3 (Liquides inflammables)</w:t>
      </w:r>
    </w:p>
    <w:p>
      <w:pPr>
        <w:pStyle w:val="Compact"/>
        <w:numPr>
          <w:ilvl w:val="0"/>
          <w:numId w:val="1005"/>
        </w:numPr>
      </w:pPr>
      <w:r>
        <w:t xml:space="preserve">IMDG : Classe 3 (Liquides inflammables)</w:t>
      </w:r>
    </w:p>
    <w:p>
      <w:pPr>
        <w:pStyle w:val="Compact"/>
        <w:numPr>
          <w:ilvl w:val="0"/>
          <w:numId w:val="1005"/>
        </w:numPr>
      </w:pPr>
      <w:r>
        <w:t xml:space="preserve">IATA : Classe 3 (Liquides inflammables)</w:t>
      </w:r>
    </w:p>
    <w:p>
      <w:pPr>
        <w:pStyle w:val="Compact"/>
        <w:numPr>
          <w:ilvl w:val="0"/>
          <w:numId w:val="1005"/>
        </w:numPr>
      </w:pPr>
      <w:r>
        <w:t xml:space="preserve">UN : 1133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 En règle générale, le produit n’irrite pas la peau.</w:t>
      </w:r>
    </w:p>
    <w:p>
      <w:pPr>
        <w:pStyle w:val="BodyText"/>
      </w:pPr>
      <w:r>
        <w:t xml:space="preserve">eyes : - Rincer les yeux pendant plusieurs minutes sous l’eau courante en écartant bien les paupières.</w:t>
      </w:r>
      <w:r>
        <w:t xml:space="preserve"> </w:t>
      </w:r>
      <w:r>
        <w:t xml:space="preserve">- Si les troubles persistent, consulter un médecin.</w:t>
      </w:r>
    </w:p>
    <w:p>
      <w:pPr>
        <w:pStyle w:val="BodyText"/>
      </w:pPr>
      <w:r>
        <w:t xml:space="preserve">ingestion : - Ne pas faire vomir.</w:t>
      </w:r>
      <w:r>
        <w:t xml:space="preserve"> </w:t>
      </w:r>
      <w:r>
        <w:t xml:space="preserve">- Demander d’urgence une assistance médicale.</w:t>
      </w:r>
    </w:p>
    <w:p>
      <w:pPr>
        <w:pStyle w:val="BodyText"/>
      </w:pPr>
      <w:r>
        <w:t xml:space="preserve">inhalation : - Donner de l’air frais.</w:t>
      </w:r>
      <w:r>
        <w:t xml:space="preserve"> </w:t>
      </w:r>
      <w:r>
        <w:t xml:space="preserve">- Consulter un médecin en cas de troubles.</w:t>
      </w:r>
    </w:p>
    <w:p>
      <w:r>
        <w:br w:type="page"/>
      </w:r>
    </w:p>
    <w:bookmarkEnd w:id="37"/>
    <w:bookmarkStart w:id="4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butanone"/>
    <w:p>
      <w:pPr>
        <w:pStyle w:val="Heading3"/>
      </w:pPr>
      <w:r>
        <w:t xml:space="preserve">Butanone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78-93-3</w:t>
      </w:r>
    </w:p>
    <w:p>
      <w:pPr>
        <w:pStyle w:val="Compact"/>
        <w:numPr>
          <w:ilvl w:val="0"/>
          <w:numId w:val="1006"/>
        </w:numPr>
      </w:pPr>
      <w:r>
        <w:t xml:space="preserve">N° EINECS : 201-159-0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7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600.0 - VLE-15min (ppm) : 300.0 - VLE-15min (mg/m³) : 900.0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n°14 - Butanone ou Méthyléthylcétone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Explosion[5, 6, 9, 10, 21-23]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End w:id="49"/>
    <w:bookmarkStart w:id="5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Butylcaoutchouc (butyl rubber).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 : &gt; 0,7 mm.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pénétration : doit être d’au moins 120 minutes (selon la norme EN 374 section 3, taux 4).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Critère de sélection : le matériau doit être imperméable et résistant au produit, et la résistance doit être vérifiée avant utilisation.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Type : Lunettes de protection hermétiques (visière ou écran facial complet).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Butylcaoutchouc (butyl rubber).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 : &gt; 0,7 mm.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pénétration : doit être d’au moins 120 minutes (selon la norme EN 374 section 3, taux 4).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Critère de sélection : le matériau doit être imperméable et résistant au produit, et la résistance doit être vérifiée avant utilisation.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• Appareil : Utiliser un appareil de protection respiratoire si la ventilation est insuffisante.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Filtre recommandé : Filtre A (pour une utilisation momentanée).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du corps • Vêtement : Vêtement de protection résistant aux solvants (combinaison ou tenue adaptée).</w:t>
            </w:r>
          </w:p>
        </w:tc>
      </w:tr>
    </w:tbl>
    <w:bookmarkEnd w:id="50"/>
    <w:bookmarkStart w:id="5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Veiller à une bonne ventilation/aspiration du poste de travail. - Éviter la formation d’aérosols. - Veiller à une bonne aération du local, même au niveau du sol (les vapeurs sont plus lourdes que l’air). - Tenir à l’abri des sources d’inflammation – ne pas fumer. - Prendre des mesures contre les charges électrostatiques.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Stocker dans un endroit frais. - Tenir les emballages hermétiquement fermés. - Stocker au frais et au sec dans des fûts bien fermés.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Emploi de la substance / de la préparation : Colle.</w:t>
            </w:r>
          </w:p>
        </w:tc>
      </w:tr>
    </w:tbl>
    <w:bookmarkEnd w:id="51"/>
    <w:bookmarkEnd w:id="5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8" Type="http://schemas.openxmlformats.org/officeDocument/2006/relationships/hyperlink" Target="https://www.inrs.fr/publications/bdd/fichetox/fiche.html?refINRS=FICHETOX_14" TargetMode="External"/><Relationship Id="rId41" Type="http://schemas.openxmlformats.org/officeDocument/2006/relationships/hyperlink" Target="https://www.inrs.fr/publications/bdd/fichetox/fiche.html?refINRS=FICHETOX_14&amp;section=VLEPMesurage" TargetMode="External"/><Relationship Id="rId46" Type="http://schemas.openxmlformats.org/officeDocument/2006/relationships/hyperlink" Target="https://www.inrs.fr/publications/bdd/fichetox/fiche.html?refINRS=FICHETOX_14&amp;section=bibliographieAuteurs" TargetMode="External"/><Relationship Id="rId40" Type="http://schemas.openxmlformats.org/officeDocument/2006/relationships/hyperlink" Target="https://www.inrs.fr/publications/bdd/fichetox/fiche.html?refINRS=FICHETOX_14&amp;section=caracteristiques" TargetMode="External"/><Relationship Id="rId39" Type="http://schemas.openxmlformats.org/officeDocument/2006/relationships/hyperlink" Target="https://www.inrs.fr/publications/bdd/fichetox/fiche.html?refINRS=FICHETOX_14&amp;section=generalites" TargetMode="External"/><Relationship Id="rId42" Type="http://schemas.openxmlformats.org/officeDocument/2006/relationships/hyperlink" Target="https://www.inrs.fr/publications/bdd/fichetox/fiche.html?refINRS=FICHETOX_14&amp;section=incendieExplosion" TargetMode="External"/><Relationship Id="rId43" Type="http://schemas.openxmlformats.org/officeDocument/2006/relationships/hyperlink" Target="https://www.inrs.fr/publications/bdd/fichetox/fiche.html?refINRS=FICHETOX_14&amp;section=pathologieToxicologie" TargetMode="External"/><Relationship Id="rId45" Type="http://schemas.openxmlformats.org/officeDocument/2006/relationships/hyperlink" Target="https://www.inrs.fr/publications/bdd/fichetox/fiche.html?refINRS=FICHETOX_14&amp;section=recommandations" TargetMode="External"/><Relationship Id="rId44" Type="http://schemas.openxmlformats.org/officeDocument/2006/relationships/hyperlink" Target="https://www.inrs.fr/publications/bdd/fichetox/fiche.html?refINRS=FICHETOX_14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8" Type="http://schemas.openxmlformats.org/officeDocument/2006/relationships/hyperlink" Target="https://www.inrs.fr/publications/bdd/fichetox/fiche.html?refINRS=FICHETOX_14" TargetMode="External"/><Relationship Id="rId41" Type="http://schemas.openxmlformats.org/officeDocument/2006/relationships/hyperlink" Target="https://www.inrs.fr/publications/bdd/fichetox/fiche.html?refINRS=FICHETOX_14&amp;section=VLEPMesurage" TargetMode="External"/><Relationship Id="rId46" Type="http://schemas.openxmlformats.org/officeDocument/2006/relationships/hyperlink" Target="https://www.inrs.fr/publications/bdd/fichetox/fiche.html?refINRS=FICHETOX_14&amp;section=bibliographieAuteurs" TargetMode="External"/><Relationship Id="rId40" Type="http://schemas.openxmlformats.org/officeDocument/2006/relationships/hyperlink" Target="https://www.inrs.fr/publications/bdd/fichetox/fiche.html?refINRS=FICHETOX_14&amp;section=caracteristiques" TargetMode="External"/><Relationship Id="rId39" Type="http://schemas.openxmlformats.org/officeDocument/2006/relationships/hyperlink" Target="https://www.inrs.fr/publications/bdd/fichetox/fiche.html?refINRS=FICHETOX_14&amp;section=generalites" TargetMode="External"/><Relationship Id="rId42" Type="http://schemas.openxmlformats.org/officeDocument/2006/relationships/hyperlink" Target="https://www.inrs.fr/publications/bdd/fichetox/fiche.html?refINRS=FICHETOX_14&amp;section=incendieExplosion" TargetMode="External"/><Relationship Id="rId43" Type="http://schemas.openxmlformats.org/officeDocument/2006/relationships/hyperlink" Target="https://www.inrs.fr/publications/bdd/fichetox/fiche.html?refINRS=FICHETOX_14&amp;section=pathologieToxicologie" TargetMode="External"/><Relationship Id="rId45" Type="http://schemas.openxmlformats.org/officeDocument/2006/relationships/hyperlink" Target="https://www.inrs.fr/publications/bdd/fichetox/fiche.html?refINRS=FICHETOX_14&amp;section=recommandations" TargetMode="External"/><Relationship Id="rId44" Type="http://schemas.openxmlformats.org/officeDocument/2006/relationships/hyperlink" Target="https://www.inrs.fr/publications/bdd/fichetox/fiche.html?refINRS=FICHETOX_14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2026-04-02T03:49:44Z</dcterms:created>
  <dcterms:modified xsi:type="dcterms:W3CDTF">2026-04-02T03:49:44Z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