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griffonvaselinellnok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Bison International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griffonvaselinellnok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analyse-des-dangers-griffonvaselinellnok"/>
    <w:p>
      <w:pPr>
        <w:pStyle w:val="Heading1"/>
      </w:pPr>
      <w:r>
        <w:t xml:space="preserve">Analyse des dangers : griffonvaselinellnok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griffonvaselinellnok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Bison International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lubrifiant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2018-02-05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2018-02-05.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 règle générale, le produit n’irrite pas la peau. Aucun traitement particulier n’est requis.</w:t>
      </w:r>
    </w:p>
    <w:p>
      <w:pPr>
        <w:pStyle w:val="BodyText"/>
      </w:pPr>
      <w:r>
        <w:t xml:space="preserve">eyes : Rincer les yeux à l’eau courante pendant plusieurs minutes, en écartant bien les paupières.</w:t>
      </w:r>
    </w:p>
    <w:p>
      <w:pPr>
        <w:pStyle w:val="BodyText"/>
      </w:pPr>
      <w:r>
        <w:t xml:space="preserve">ingestion : Si des troubles persistent, consulter un médecin.</w:t>
      </w:r>
    </w:p>
    <w:p>
      <w:pPr>
        <w:pStyle w:val="BodyText"/>
      </w:pPr>
      <w:r>
        <w:t xml:space="preserve">inhalation : Donner de l’air frais. Si des troubles persistent, consulter un médecin.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pétrolatum"/>
    <w:p>
      <w:pPr>
        <w:pStyle w:val="Heading3"/>
      </w:pPr>
      <w:r>
        <w:t xml:space="preserve">pétrolatum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8009-03-8</w:t>
      </w:r>
    </w:p>
    <w:p>
      <w:pPr>
        <w:pStyle w:val="Compact"/>
        <w:numPr>
          <w:ilvl w:val="0"/>
          <w:numId w:val="1004"/>
        </w:numPr>
      </w:pPr>
      <w:r>
        <w:t xml:space="preserve">N° EINECS : 232-373-2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caoutchouc nitrile.</w:t>
            </w:r>
            <w:r>
              <w:rPr>
                <w:sz w:val="20"/>
                <w:szCs w:val="20"/>
              </w:rPr>
              <w:t xml:space="preserve">• Épaisseur recommandée : &gt; 0,12 mm.</w:t>
            </w:r>
            <w:r>
              <w:rPr>
                <w:sz w:val="20"/>
                <w:szCs w:val="20"/>
              </w:rPr>
              <w:t xml:space="preserve">• Temps de pénétration : doit être d’au moins 10 minutes (selon la norme EN 374 section 3, taux 1). Le temps exact doit être déterminé par le fabricant des gants et respecté.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Équipement recommandé : lunettes de protection (ou écran facial).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caoutchouc nitrile.</w:t>
            </w:r>
            <w:r>
              <w:rPr>
                <w:sz w:val="20"/>
                <w:szCs w:val="20"/>
              </w:rPr>
              <w:t xml:space="preserve">• Épaisseur recommandée : &gt; 0,12 mm.</w:t>
            </w:r>
            <w:r>
              <w:rPr>
                <w:sz w:val="20"/>
                <w:szCs w:val="20"/>
              </w:rPr>
              <w:t xml:space="preserve">• Temps de pénétration : doit être d’au moins 10 minutes (selon la norme EN 374 section 3, taux 1). Le temps exact doit être déterminé par le fabricant des gants et respecté.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 masque respiratoire ou filtre n’est requis pour la manipulation normale du produit.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 vêtement de protection ou combinaison spécifique n’est mentionné comme requis.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mesure particulière n’est requise.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(Rubrique 7 – 7.2) - Exigences concernant les lieux et conteneurs de stockage : aucune exigence particulière. - Indications concernant le stockage commun : pas nécessaire. - Autres indications sur les conditions de stockage : néant.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lubrifiant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2026-04-02T03:51:54Z</dcterms:created>
  <dcterms:modified xsi:type="dcterms:W3CDTF">2026-04-02T03:51:54Z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