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groupev33-saturateursx602hainok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Groupe V33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groupev33-saturateursx602hainok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9" w:name="X1324390c052afd1004a99fe094c5e179461aa6a"/>
    <w:p>
      <w:pPr>
        <w:pStyle w:val="Heading1"/>
      </w:pPr>
      <w:r>
        <w:t xml:space="preserve">Analyse des dangers : groupev33-saturateursx602hainok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groupev33-saturateursx602hainok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Groupe V33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visqueux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8.50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d’entretien du bois.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2018-09-04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2018-09-04.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EUH208</w:t>
      </w:r>
      <w:r>
        <w:t xml:space="preserve"> </w:t>
      </w:r>
      <w:r>
        <w:t xml:space="preserve">Contient (nom de la substance sensibilisante). Peut produire une réaction allergique.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P271</w:t>
      </w:r>
      <w:r>
        <w:t xml:space="preserve"> </w:t>
      </w:r>
      <w:r>
        <w:t xml:space="preserve">Utiliser seulement en plein air ou dans un endroit bien ventilé.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pas disponible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pas disponible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En cas de contact, consulter un médecin si une manifestation allergique apparaît.</w:t>
      </w:r>
    </w:p>
    <w:p>
      <w:pPr>
        <w:pStyle w:val="BodyText"/>
      </w:pPr>
      <w:r>
        <w:t xml:space="preserve">eyes : - Laver abondamment les yeux avec de l’eau douce et propre pendant 15 min en maintenant les paupières écartées.</w:t>
      </w:r>
    </w:p>
    <w:p>
      <w:pPr>
        <w:pStyle w:val="BodyText"/>
      </w:pPr>
      <w:r>
        <w:t xml:space="preserve">ingestion : - Si l’ingestion est peu importante (pas plus d’une gorgée) : rincer la bouche avec de l’eau et consulter un médecin.</w:t>
      </w:r>
      <w:r>
        <w:t xml:space="preserve"> </w:t>
      </w:r>
      <w:r>
        <w:t xml:space="preserve"> </w:t>
      </w:r>
      <w:r>
        <w:t xml:space="preserve">- Ne pas faire vomir.</w:t>
      </w:r>
      <w:r>
        <w:t xml:space="preserve"> </w:t>
      </w:r>
      <w:r>
        <w:t xml:space="preserve"> </w:t>
      </w:r>
      <w:r>
        <w:t xml:space="preserve">- Garder le patient au repos.</w:t>
      </w:r>
      <w:r>
        <w:t xml:space="preserve"> </w:t>
      </w:r>
      <w:r>
        <w:t xml:space="preserve"> </w:t>
      </w:r>
      <w:r>
        <w:t xml:space="preserve">- En cas d’ingestion accidentelle, appeler un médecin pour évaluer la nécessité d’une surveillance ou d’un traitement hospitalier, en montrant l’étiquette.</w:t>
      </w:r>
    </w:p>
    <w:p>
      <w:pPr>
        <w:pStyle w:val="BodyText"/>
      </w:pPr>
      <w:r>
        <w:t xml:space="preserve">inhalation : - En cas d’inhalation, consulter un médecin si des symptômes persistent.</w:t>
      </w:r>
    </w:p>
    <w:p>
      <w:r>
        <w:br w:type="page"/>
      </w:r>
    </w:p>
    <w:bookmarkEnd w:id="31"/>
    <w:bookmarkStart w:id="5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propylene-glycol-monomethyl-ether"/>
    <w:p>
      <w:pPr>
        <w:pStyle w:val="Heading3"/>
      </w:pPr>
      <w:r>
        <w:t xml:space="preserve">Propylene glycol monomethyl ether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107-98-2</w:t>
      </w:r>
    </w:p>
    <w:p>
      <w:pPr>
        <w:pStyle w:val="Compact"/>
        <w:numPr>
          <w:ilvl w:val="0"/>
          <w:numId w:val="1006"/>
        </w:numPr>
      </w:pPr>
      <w:r>
        <w:t xml:space="preserve">N° EINECS : 203-539-1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184.0 - VLE-15min (ppm) : 100.0 - VLE-15min (mg/m³) : 369.0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 n°221 - 1-Méthoxy-2-propanol et son acétate</w:t>
        </w:r>
      </w:hyperlink>
    </w:p>
    <w:p>
      <w:pPr>
        <w:numPr>
          <w:ilvl w:val="0"/>
          <w:numId w:val="1008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Explosion[1, 2, 14]</w:t>
        </w:r>
      </w:hyperlink>
    </w:p>
    <w:p>
      <w:pPr>
        <w:numPr>
          <w:ilvl w:val="0"/>
          <w:numId w:val="1008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Start w:id="53" w:name="hydroxyphenyl-benzotriazole"/>
    <w:p>
      <w:pPr>
        <w:pStyle w:val="Heading3"/>
      </w:pPr>
      <w:r>
        <w:t xml:space="preserve">HYDROXYPHENYL BENZOTRIAZOLE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2634-33-5</w:t>
      </w:r>
    </w:p>
    <w:p>
      <w:pPr>
        <w:pStyle w:val="Compact"/>
        <w:numPr>
          <w:ilvl w:val="0"/>
          <w:numId w:val="1009"/>
        </w:numPr>
      </w:pPr>
      <w:r>
        <w:t xml:space="preserve">N° EINECS : 400-830-7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0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0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0"/>
        </w:numPr>
      </w:pPr>
      <w:r>
        <w:t xml:space="preserve">H330</w:t>
      </w:r>
      <w:r>
        <w:t xml:space="preserve"> </w:t>
      </w:r>
      <w:r>
        <w:t xml:space="preserve">Fatal if inhaled.</w:t>
      </w:r>
    </w:p>
    <w:p>
      <w:pPr>
        <w:numPr>
          <w:ilvl w:val="0"/>
          <w:numId w:val="1010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0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2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3">
        <w:r>
          <w:rPr>
            <w:rStyle w:val="Hyperlink"/>
            <w:color w:val="0856A0"/>
            <w:u w:val="single"/>
          </w:rPr>
          <w:t xml:space="preserve">Fiche n°243 - 1,2-Benzisothiazol-3(2H)-one</w:t>
        </w:r>
      </w:hyperlink>
    </w:p>
    <w:p>
      <w:pPr>
        <w:numPr>
          <w:ilvl w:val="0"/>
          <w:numId w:val="1011"/>
        </w:numPr>
      </w:pPr>
      <w:hyperlink r:id="rId4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4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4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47">
        <w:r>
          <w:rPr>
            <w:rStyle w:val="Hyperlink"/>
            <w:color w:val="0856A0"/>
            <w:u w:val="single"/>
          </w:rPr>
          <w:t xml:space="preserve">Incendie - Explosion[7-9]</w:t>
        </w:r>
      </w:hyperlink>
    </w:p>
    <w:p>
      <w:pPr>
        <w:numPr>
          <w:ilvl w:val="0"/>
          <w:numId w:val="1011"/>
        </w:numPr>
      </w:pPr>
      <w:hyperlink r:id="rId4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4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2"/>
    <w:bookmarkEnd w:id="53"/>
    <w:bookmarkStart w:id="55" w:name="benzisothiazolinone"/>
    <w:p>
      <w:pPr>
        <w:pStyle w:val="Heading3"/>
      </w:pPr>
      <w:r>
        <w:t xml:space="preserve">BENZISOTHIAZOLINONE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2634-33-5</w:t>
      </w:r>
    </w:p>
    <w:p>
      <w:pPr>
        <w:pStyle w:val="Compact"/>
        <w:numPr>
          <w:ilvl w:val="0"/>
          <w:numId w:val="1012"/>
        </w:numPr>
      </w:pPr>
      <w:r>
        <w:t xml:space="preserve">N° EINECS : 220-120-9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3"/>
        </w:numPr>
      </w:pPr>
      <w:r>
        <w:t xml:space="preserve">H330</w:t>
      </w:r>
      <w:r>
        <w:t xml:space="preserve"> </w:t>
      </w:r>
      <w:r>
        <w:t xml:space="preserve">Fatal if inhaled.</w:t>
      </w:r>
    </w:p>
    <w:p>
      <w:pPr>
        <w:numPr>
          <w:ilvl w:val="0"/>
          <w:numId w:val="1013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3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4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3">
        <w:r>
          <w:rPr>
            <w:rStyle w:val="Hyperlink"/>
            <w:color w:val="0856A0"/>
            <w:u w:val="single"/>
          </w:rPr>
          <w:t xml:space="preserve">Fiche n°243 - 1,2-Benzisothiazol-3(2H)-one</w:t>
        </w:r>
      </w:hyperlink>
    </w:p>
    <w:p>
      <w:pPr>
        <w:numPr>
          <w:ilvl w:val="0"/>
          <w:numId w:val="1014"/>
        </w:numPr>
      </w:pPr>
      <w:hyperlink r:id="rId4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4"/>
        </w:numPr>
      </w:pPr>
      <w:hyperlink r:id="rId4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4"/>
        </w:numPr>
      </w:pPr>
      <w:hyperlink r:id="rId4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4"/>
        </w:numPr>
      </w:pPr>
      <w:hyperlink r:id="rId47">
        <w:r>
          <w:rPr>
            <w:rStyle w:val="Hyperlink"/>
            <w:color w:val="0856A0"/>
            <w:u w:val="single"/>
          </w:rPr>
          <w:t xml:space="preserve">Incendie - Explosion[7-9]</w:t>
        </w:r>
      </w:hyperlink>
    </w:p>
    <w:p>
      <w:pPr>
        <w:numPr>
          <w:ilvl w:val="0"/>
          <w:numId w:val="1014"/>
        </w:numPr>
      </w:pPr>
      <w:hyperlink r:id="rId4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4"/>
        </w:numPr>
      </w:pPr>
      <w:hyperlink r:id="rId4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4"/>
        </w:numPr>
      </w:pPr>
      <w:hyperlink r:id="rId5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4"/>
        </w:numPr>
      </w:pPr>
      <w:hyperlink r:id="rId5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4"/>
    <w:bookmarkEnd w:id="55"/>
    <w:bookmarkEnd w:id="56"/>
    <w:bookmarkStart w:id="5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Gants résistants aux agents chimiques. • Conformes à la norme NF EN 374 (gants imperméables). • Choix du type en fonction de l’application: – Latex naturel – Caoutchouc nitrile (Copolymère butadiène-acrylonitrile, NBR) – PVC (Polychlorure de vinyle) – Caoutchouc butyle (Copolymère isobutylène-isoprène). • Les gants doivent être sélectionnés selon la durée d’utilisation, les autres produits chimiques présents, les protections physiques requises (coupure, piqûre, thermique) et la dextérité nécessaire.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• Porter des lunettes de sécurité conformes à la norme NF EN 166. • Utiliser des protections oculaires conçues contre les projections de liquide (protection contre les éclaboussures).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Gants résistants aux agents chimiques. • Conformes à la norme NF EN 374 (gants imperméables). • Choix du type en fonction de l’application: – Latex naturel – Caoutchouc nitrile (Copolymère butadiène-acrylonitrile, NBR) – PVC (Polychlorure de vinyle) – Caoutchouc butyle (Copolymère isobutylène-isoprène). • Les gants doivent être sélectionnés selon la durée d’utilisation, les autres produits chimiques présents, les protections physiques requises (coupure, piqûre, thermique) et la dextérité nécessaire.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Aucune information spécifique sur les masques respiratoires ou filtres n’est fournie dans la section 8.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Le personnel portera un vêtement de travail régulièrement lavé. • Après contact avec le produit, toutes les parties du corps souillées doivent être lavées. • Les vêtements de protection doivent être conservés propres et à l’écart de la zone de travail.</w:t>
            </w:r>
          </w:p>
        </w:tc>
      </w:tr>
    </w:tbl>
    <w:bookmarkEnd w:id="57"/>
    <w:bookmarkStart w:id="5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laver les mains après chaque utilisation. - Enlever et laver les vêtements contaminés avant réutilisation. - Assurer une ventilation adéquate, surtout dans les endroits clos. - Manipuler dans des zones bien ventilées (prévention des incendies). - Interdire l’accès aux personnes non autorisées. - Observer les précautions indiquées sur l’étiquette ainsi que les réglementations de la protection du travail. - Refermer soigneusement les emballages entamés et les conserver en position verticale. - Il est interdit de fumer, manger et boire dans les locaux où le mélange est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hors de la portée des enfants. - Conserver le récipient bien fermé, dans un endroit sec et bien ventilé. - Le sol des locaux doit être imperméable et former une cuvette de rétention afin qu’en cas de déversement accidentel, le liquide ne puisse se répandre à l’extérieur. - Toujours conserver dans des emballages d’un matériau identique à celui d’origine.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d’entretien du bois.</w:t>
            </w:r>
          </w:p>
        </w:tc>
      </w:tr>
    </w:tbl>
    <w:bookmarkEnd w:id="58"/>
    <w:bookmarkEnd w:id="5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2" Type="http://schemas.openxmlformats.org/officeDocument/2006/relationships/hyperlink" Target="https://www.inrs.fr/publications/bdd/fichetox/fiche.html?refINRS=FICHETOX_221" TargetMode="External"/><Relationship Id="rId35" Type="http://schemas.openxmlformats.org/officeDocument/2006/relationships/hyperlink" Target="https://www.inrs.fr/publications/bdd/fichetox/fiche.html?refINRS=FICHETOX_221&amp;section=VLEPMesurage" TargetMode="External"/><Relationship Id="rId40" Type="http://schemas.openxmlformats.org/officeDocument/2006/relationships/hyperlink" Target="https://www.inrs.fr/publications/bdd/fichetox/fiche.html?refINRS=FICHETOX_221&amp;section=bibliographieAuteurs" TargetMode="External"/><Relationship Id="rId34" Type="http://schemas.openxmlformats.org/officeDocument/2006/relationships/hyperlink" Target="https://www.inrs.fr/publications/bdd/fichetox/fiche.html?refINRS=FICHETOX_221&amp;section=caracteristiques" TargetMode="External"/><Relationship Id="rId33" Type="http://schemas.openxmlformats.org/officeDocument/2006/relationships/hyperlink" Target="https://www.inrs.fr/publications/bdd/fichetox/fiche.html?refINRS=FICHETOX_221&amp;section=generalites" TargetMode="External"/><Relationship Id="rId36" Type="http://schemas.openxmlformats.org/officeDocument/2006/relationships/hyperlink" Target="https://www.inrs.fr/publications/bdd/fichetox/fiche.html?refINRS=FICHETOX_221&amp;section=incendieExplosion" TargetMode="External"/><Relationship Id="rId37" Type="http://schemas.openxmlformats.org/officeDocument/2006/relationships/hyperlink" Target="https://www.inrs.fr/publications/bdd/fichetox/fiche.html?refINRS=FICHETOX_221&amp;section=pathologieToxicologie" TargetMode="External"/><Relationship Id="rId39" Type="http://schemas.openxmlformats.org/officeDocument/2006/relationships/hyperlink" Target="https://www.inrs.fr/publications/bdd/fichetox/fiche.html?refINRS=FICHETOX_221&amp;section=recommandations" TargetMode="External"/><Relationship Id="rId38" Type="http://schemas.openxmlformats.org/officeDocument/2006/relationships/hyperlink" Target="https://www.inrs.fr/publications/bdd/fichetox/fiche.html?refINRS=FICHETOX_221&amp;section=reglementation" TargetMode="External"/><Relationship Id="rId43" Type="http://schemas.openxmlformats.org/officeDocument/2006/relationships/hyperlink" Target="https://www.inrs.fr/publications/bdd/fichetox/fiche.html?refINRS=FICHETOX_243" TargetMode="External"/><Relationship Id="rId46" Type="http://schemas.openxmlformats.org/officeDocument/2006/relationships/hyperlink" Target="https://www.inrs.fr/publications/bdd/fichetox/fiche.html?refINRS=FICHETOX_243&amp;section=VLEPMesurage" TargetMode="External"/><Relationship Id="rId51" Type="http://schemas.openxmlformats.org/officeDocument/2006/relationships/hyperlink" Target="https://www.inrs.fr/publications/bdd/fichetox/fiche.html?refINRS=FICHETOX_243&amp;section=bibliographieAuteurs" TargetMode="External"/><Relationship Id="rId45" Type="http://schemas.openxmlformats.org/officeDocument/2006/relationships/hyperlink" Target="https://www.inrs.fr/publications/bdd/fichetox/fiche.html?refINRS=FICHETOX_243&amp;section=caracteristiques" TargetMode="External"/><Relationship Id="rId44" Type="http://schemas.openxmlformats.org/officeDocument/2006/relationships/hyperlink" Target="https://www.inrs.fr/publications/bdd/fichetox/fiche.html?refINRS=FICHETOX_243&amp;section=generalites" TargetMode="External"/><Relationship Id="rId47" Type="http://schemas.openxmlformats.org/officeDocument/2006/relationships/hyperlink" Target="https://www.inrs.fr/publications/bdd/fichetox/fiche.html?refINRS=FICHETOX_243&amp;section=incendieExplosion" TargetMode="External"/><Relationship Id="rId48" Type="http://schemas.openxmlformats.org/officeDocument/2006/relationships/hyperlink" Target="https://www.inrs.fr/publications/bdd/fichetox/fiche.html?refINRS=FICHETOX_243&amp;section=pathologieToxicologie" TargetMode="External"/><Relationship Id="rId50" Type="http://schemas.openxmlformats.org/officeDocument/2006/relationships/hyperlink" Target="https://www.inrs.fr/publications/bdd/fichetox/fiche.html?refINRS=FICHETOX_243&amp;section=recommandations" TargetMode="External"/><Relationship Id="rId49" Type="http://schemas.openxmlformats.org/officeDocument/2006/relationships/hyperlink" Target="https://www.inrs.fr/publications/bdd/fichetox/fiche.html?refINRS=FICHETOX_243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2" Type="http://schemas.openxmlformats.org/officeDocument/2006/relationships/hyperlink" Target="https://www.inrs.fr/publications/bdd/fichetox/fiche.html?refINRS=FICHETOX_221" TargetMode="External"/><Relationship Id="rId35" Type="http://schemas.openxmlformats.org/officeDocument/2006/relationships/hyperlink" Target="https://www.inrs.fr/publications/bdd/fichetox/fiche.html?refINRS=FICHETOX_221&amp;section=VLEPMesurage" TargetMode="External"/><Relationship Id="rId40" Type="http://schemas.openxmlformats.org/officeDocument/2006/relationships/hyperlink" Target="https://www.inrs.fr/publications/bdd/fichetox/fiche.html?refINRS=FICHETOX_221&amp;section=bibliographieAuteurs" TargetMode="External"/><Relationship Id="rId34" Type="http://schemas.openxmlformats.org/officeDocument/2006/relationships/hyperlink" Target="https://www.inrs.fr/publications/bdd/fichetox/fiche.html?refINRS=FICHETOX_221&amp;section=caracteristiques" TargetMode="External"/><Relationship Id="rId33" Type="http://schemas.openxmlformats.org/officeDocument/2006/relationships/hyperlink" Target="https://www.inrs.fr/publications/bdd/fichetox/fiche.html?refINRS=FICHETOX_221&amp;section=generalites" TargetMode="External"/><Relationship Id="rId36" Type="http://schemas.openxmlformats.org/officeDocument/2006/relationships/hyperlink" Target="https://www.inrs.fr/publications/bdd/fichetox/fiche.html?refINRS=FICHETOX_221&amp;section=incendieExplosion" TargetMode="External"/><Relationship Id="rId37" Type="http://schemas.openxmlformats.org/officeDocument/2006/relationships/hyperlink" Target="https://www.inrs.fr/publications/bdd/fichetox/fiche.html?refINRS=FICHETOX_221&amp;section=pathologieToxicologie" TargetMode="External"/><Relationship Id="rId39" Type="http://schemas.openxmlformats.org/officeDocument/2006/relationships/hyperlink" Target="https://www.inrs.fr/publications/bdd/fichetox/fiche.html?refINRS=FICHETOX_221&amp;section=recommandations" TargetMode="External"/><Relationship Id="rId38" Type="http://schemas.openxmlformats.org/officeDocument/2006/relationships/hyperlink" Target="https://www.inrs.fr/publications/bdd/fichetox/fiche.html?refINRS=FICHETOX_221&amp;section=reglementation" TargetMode="External"/><Relationship Id="rId43" Type="http://schemas.openxmlformats.org/officeDocument/2006/relationships/hyperlink" Target="https://www.inrs.fr/publications/bdd/fichetox/fiche.html?refINRS=FICHETOX_243" TargetMode="External"/><Relationship Id="rId46" Type="http://schemas.openxmlformats.org/officeDocument/2006/relationships/hyperlink" Target="https://www.inrs.fr/publications/bdd/fichetox/fiche.html?refINRS=FICHETOX_243&amp;section=VLEPMesurage" TargetMode="External"/><Relationship Id="rId51" Type="http://schemas.openxmlformats.org/officeDocument/2006/relationships/hyperlink" Target="https://www.inrs.fr/publications/bdd/fichetox/fiche.html?refINRS=FICHETOX_243&amp;section=bibliographieAuteurs" TargetMode="External"/><Relationship Id="rId45" Type="http://schemas.openxmlformats.org/officeDocument/2006/relationships/hyperlink" Target="https://www.inrs.fr/publications/bdd/fichetox/fiche.html?refINRS=FICHETOX_243&amp;section=caracteristiques" TargetMode="External"/><Relationship Id="rId44" Type="http://schemas.openxmlformats.org/officeDocument/2006/relationships/hyperlink" Target="https://www.inrs.fr/publications/bdd/fichetox/fiche.html?refINRS=FICHETOX_243&amp;section=generalites" TargetMode="External"/><Relationship Id="rId47" Type="http://schemas.openxmlformats.org/officeDocument/2006/relationships/hyperlink" Target="https://www.inrs.fr/publications/bdd/fichetox/fiche.html?refINRS=FICHETOX_243&amp;section=incendieExplosion" TargetMode="External"/><Relationship Id="rId48" Type="http://schemas.openxmlformats.org/officeDocument/2006/relationships/hyperlink" Target="https://www.inrs.fr/publications/bdd/fichetox/fiche.html?refINRS=FICHETOX_243&amp;section=pathologieToxicologie" TargetMode="External"/><Relationship Id="rId50" Type="http://schemas.openxmlformats.org/officeDocument/2006/relationships/hyperlink" Target="https://www.inrs.fr/publications/bdd/fichetox/fiche.html?refINRS=FICHETOX_243&amp;section=recommandations" TargetMode="External"/><Relationship Id="rId49" Type="http://schemas.openxmlformats.org/officeDocument/2006/relationships/hyperlink" Target="https://www.inrs.fr/publications/bdd/fichetox/fiche.html?refINRS=FICHETOX_243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2026-04-02T04:00:43Z</dcterms:created>
  <dcterms:modified xsi:type="dcterms:W3CDTF">2026-04-02T04:00:43Z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