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chloreactif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Stéarinerie et Savonnerie de Nîmes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chloreactif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analyse-des-dangers-chloreactif"/>
    <w:p>
      <w:pPr>
        <w:pStyle w:val="Heading1"/>
      </w:pPr>
      <w:r>
        <w:t xml:space="preserve">Analyse des dangers : chloreactif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chloreactif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Stéarinerie et Savonnerie de Nîmes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not available in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2022-12-08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2022-12-08.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Danger pour l’environnement" title="" id="34" name="Picture"/>
            <a:graphic>
              <a:graphicData uri="http://schemas.openxmlformats.org/drawingml/2006/picture">
                <pic:pic>
                  <pic:nvPicPr>
                    <pic:cNvPr descr="templates/SGH09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Danger pour l’environnement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3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P103</w:t>
      </w:r>
      <w:r>
        <w:t xml:space="preserve"> </w:t>
      </w:r>
      <w:r>
        <w:t xml:space="preserve">Lire l’étiquette avant utilisation.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P390</w:t>
      </w:r>
      <w:r>
        <w:t xml:space="preserve"> </w:t>
      </w:r>
      <w:r>
        <w:t xml:space="preserve">Absorber toute substance répandue pour éviter qu’elle attaque les matériaux environnants.</w:t>
      </w:r>
    </w:p>
    <w:p>
      <w:pPr>
        <w:numPr>
          <w:ilvl w:val="0"/>
          <w:numId w:val="1004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1791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Enlever immédiatement tout vêtement souillé ou éclaboussé.</w:t>
      </w:r>
      <w:r>
        <w:t xml:space="preserve"> </w:t>
      </w:r>
      <w:r>
        <w:t xml:space="preserve">• Prendre garde aux résidus pouvant rester entre la peau et les vêtements, la montre, les chaussures, etc.</w:t>
      </w:r>
      <w:r>
        <w:t xml:space="preserve"> </w:t>
      </w:r>
      <w:r>
        <w:t xml:space="preserve">• Si la zone contaminée est étendue ou si des lésions cutanées apparaissent, consulter un médecin ou transférer en milieu hospitalier.</w:t>
      </w:r>
      <w:r>
        <w:t xml:space="preserve"> </w:t>
      </w:r>
      <w:r>
        <w:t xml:space="preserve">• Laver immédiatement et abondamment à l’eau.</w:t>
      </w:r>
    </w:p>
    <w:p>
      <w:pPr>
        <w:pStyle w:val="BodyText"/>
      </w:pPr>
      <w:r>
        <w:t xml:space="preserve">eyes : • Laver abondamment avec de l’eau douce et propre pendant 15 min en maintenant les paupières écartées.</w:t>
      </w:r>
      <w:r>
        <w:t xml:space="preserve"> </w:t>
      </w:r>
      <w:r>
        <w:t xml:space="preserve">• En tout état, adresser systématiquement le sujet chez un ophtalmologiste, en lui montrant l’étiquette.</w:t>
      </w:r>
    </w:p>
    <w:p>
      <w:pPr>
        <w:pStyle w:val="BodyText"/>
      </w:pPr>
      <w:r>
        <w:t xml:space="preserve">ingestion : • Ne rien faire absorber par la bouche.</w:t>
      </w:r>
      <w:r>
        <w:t xml:space="preserve"> </w:t>
      </w:r>
      <w:r>
        <w:t xml:space="preserve">• Rincer la bouche avec de l’eau (seulement si la personne est consciente).</w:t>
      </w:r>
      <w:r>
        <w:t xml:space="preserve"> </w:t>
      </w:r>
      <w:r>
        <w:t xml:space="preserve">• Appeler immédiatement un médecin ou un centre anti‑poison.</w:t>
      </w:r>
      <w:r>
        <w:t xml:space="preserve"> </w:t>
      </w:r>
      <w:r>
        <w:t xml:space="preserve">• Transporter immédiatement la victime à l’hôpital.</w:t>
      </w:r>
    </w:p>
    <w:p>
      <w:pPr>
        <w:pStyle w:val="BodyText"/>
      </w:pPr>
      <w:r>
        <w:t xml:space="preserve">inhalation : • Amener la personne à l’air libre.</w:t>
      </w:r>
      <w:r>
        <w:t xml:space="preserve"> </w:t>
      </w:r>
      <w:r>
        <w:t xml:space="preserve">• Fournir oxygène ou respiration artificielle si nécessaire.</w:t>
      </w:r>
      <w:r>
        <w:t xml:space="preserve"> </w:t>
      </w:r>
      <w:r>
        <w:t xml:space="preserve">• Laisser la victime allongée en position de repos, la couvrir et la garder au chaud.</w:t>
      </w:r>
      <w:r>
        <w:t xml:space="preserve"> </w:t>
      </w:r>
      <w:r>
        <w:t xml:space="preserve">• Appeler immédiatement un médecin.</w:t>
      </w:r>
    </w:p>
    <w:p>
      <w:r>
        <w:br w:type="page"/>
      </w:r>
    </w:p>
    <w:bookmarkEnd w:id="37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hypochlorite-de-sodium-solution-cl-actif"/>
    <w:p>
      <w:pPr>
        <w:pStyle w:val="Heading3"/>
      </w:pPr>
      <w:r>
        <w:t xml:space="preserve">HYPOCHLORITE DE SODIUM, SOLUTION CL ACTIF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7681-52-9</w:t>
      </w:r>
    </w:p>
    <w:p>
      <w:pPr>
        <w:pStyle w:val="Compact"/>
        <w:numPr>
          <w:ilvl w:val="0"/>
          <w:numId w:val="1006"/>
        </w:numPr>
      </w:pPr>
      <w:r>
        <w:t xml:space="preserve">N° EINECS : 231-668-3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n°157 - Eaux et extraits de Javel, Hypochlorite de sodium en solution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Explosion[1-3]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Matériaux conseillés :  – Latex naturel  – PVC (Polychlorure de vinyle)  – Néoprène® (Polychloroprène)  – Caoutchouc Nitrile (Copolymère butadiène-acrylonitrile, NBR)  – Caoutchouc Butyle (Copolymère isobutylène-isoprène) • Norme : EN ISO 374-1 • Sélection à faire en fonction de l’application, de la durée d’utilisation et des risques physiques (coupe, piqûre, chaleur, dextérité requise)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Goggles de protection latérale conformes à la norme NF EN 166 • En cas de danger accru, écran facial (visière) pour protection du visage • Les lunettes correctrices ne constituent pas une protection • Les porteurs de lentilles de contact doivent porter des verres correcteurs pendant l’exposition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Matériaux conseillés :  – Latex naturel  – PVC (Polychlorure de vinyle)  – Néoprène® (Polychloroprène)  – Caoutchouc Nitrile (Copolymère butadiène-acrylonitrile, NBR)  – Caoutchouc Butyle (Copolymère isobutylène-isoprène) • Norme : EN ISO 374-1 • Sélection à faire en fonction de l’application, de la durée d’utilisation et des risques physiques (coupe, piqûre, chaleur, dextérité requise)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En cas de ventilation insuffisante, porter un appareil respiratoire approprié • Lorsque les concentrations dépassent les limites d’exposition, porter un appareil respiratoire isolant • Appareils à cartouche/filtre : type BP3 • Appareil respiratoire combiné vapeurs/particules (norme EN 141) • En cas de masques à cartouche insuffisants, utiliser un respirateur à air ou autonome en milieu confiné (si oxygène insuffisant ou émanations importantes)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En cas de fortes projections : vêtements de protection chimique étanches aux liquides (type 3) conformes à la norme NF EN 14605/A1 • En cas de risque d’éclaboussures : vêtements de protection chimique (type 6) conformes à la norme NF EN 13034/A1 • Porter un tablier et des bottes appropriés • Les vêtements doivent être maintenus en bon état, nettoyés après usage et lavés régulièrement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Enlever les vêtements contaminés et l’équipement de protection avant d’entrer dans une zone de restauration. - Prévoir des douches de sécurité et des fontaines oculaires dans les ateliers où le mélange est manipulé de façon constante. - Utiliser seulement dans des zones bien ventilées. - Assurer une ventilation adéquate. - Conserver à l’écart des produits incompatibles. - Ne pas surchauffer, afin d’éviter une décomposition thermique. - Manipuler dans des zones bien ventilées. - Interdire l’accès aux personnes non autorisées. - Observer les précautions indiquées sur l’étiquette ainsi que les réglementations de la protection du travail. - Ne pas respirer les vapeurs. - Prévoir une aspiration des vapeurs à la source, ainsi qu’une ventilation générale des locaux. - Prévoir également des appareils de protection respiratoires pour certains travaux de courte durée, à caractère exceptionnel, ou pour des interventions d’urgence.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Ne pas stocker avec des aliments. - Ne pas stocker avec des acides. - Protéger contre la lumière. - Protéger de la chaleur et du rayonnement direct du soleil. - Conserver hors de la portée des enfants. - Conserver le récipient bien fermé, dans un endroit sec et bien ventilé. - Conserver au frais et au sec dans un emballage hermétiquement fermé. - Stocker dans un bac de rétention. - Conserver à l’écart des produits incompatibles. - Température de stockage : entre 0 °C et 25 °C (au-delà, la déperdition du chlore actif est accélérée). - Utiliser le produit dans les 5 mois (voir date limite d’utilisation sur l’emballage). - Emballage : toujours conserver dans des emballages du même matériau que l’origine (polyéthylène, verre, PVC, polyester stratifié). - Matériaux de conditionnement inappropriés : métaux. Incompatibilités : - Acides. - Métaux (cuivre, nickel, fer, monel, etc.). - Matières organiques. - Sels métalliques. - Produits qui peuvent réagir violemment (ex. méthanol, solutions d’ammoniaque, amines).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not available in document.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157" TargetMode="External"/><Relationship Id="rId41" Type="http://schemas.openxmlformats.org/officeDocument/2006/relationships/hyperlink" Target="https://www.inrs.fr/publications/bdd/fichetox/fiche.html?refINRS=FICHETOX_157&amp;section=VLEPMesurage" TargetMode="External"/><Relationship Id="rId46" Type="http://schemas.openxmlformats.org/officeDocument/2006/relationships/hyperlink" Target="https://www.inrs.fr/publications/bdd/fichetox/fiche.html?refINRS=FICHETOX_157&amp;section=bibliographieAuteurs" TargetMode="External"/><Relationship Id="rId40" Type="http://schemas.openxmlformats.org/officeDocument/2006/relationships/hyperlink" Target="https://www.inrs.fr/publications/bdd/fichetox/fiche.html?refINRS=FICHETOX_157&amp;section=caracteristiques" TargetMode="External"/><Relationship Id="rId39" Type="http://schemas.openxmlformats.org/officeDocument/2006/relationships/hyperlink" Target="https://www.inrs.fr/publications/bdd/fichetox/fiche.html?refINRS=FICHETOX_157&amp;section=generalites" TargetMode="External"/><Relationship Id="rId42" Type="http://schemas.openxmlformats.org/officeDocument/2006/relationships/hyperlink" Target="https://www.inrs.fr/publications/bdd/fichetox/fiche.html?refINRS=FICHETOX_157&amp;section=incendieExplosion" TargetMode="External"/><Relationship Id="rId43" Type="http://schemas.openxmlformats.org/officeDocument/2006/relationships/hyperlink" Target="https://www.inrs.fr/publications/bdd/fichetox/fiche.html?refINRS=FICHETOX_157&amp;section=pathologieToxicologie" TargetMode="External"/><Relationship Id="rId45" Type="http://schemas.openxmlformats.org/officeDocument/2006/relationships/hyperlink" Target="https://www.inrs.fr/publications/bdd/fichetox/fiche.html?refINRS=FICHETOX_157&amp;section=recommandations" TargetMode="External"/><Relationship Id="rId44" Type="http://schemas.openxmlformats.org/officeDocument/2006/relationships/hyperlink" Target="https://www.inrs.fr/publications/bdd/fichetox/fiche.html?refINRS=FICHETOX_15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157" TargetMode="External"/><Relationship Id="rId41" Type="http://schemas.openxmlformats.org/officeDocument/2006/relationships/hyperlink" Target="https://www.inrs.fr/publications/bdd/fichetox/fiche.html?refINRS=FICHETOX_157&amp;section=VLEPMesurage" TargetMode="External"/><Relationship Id="rId46" Type="http://schemas.openxmlformats.org/officeDocument/2006/relationships/hyperlink" Target="https://www.inrs.fr/publications/bdd/fichetox/fiche.html?refINRS=FICHETOX_157&amp;section=bibliographieAuteurs" TargetMode="External"/><Relationship Id="rId40" Type="http://schemas.openxmlformats.org/officeDocument/2006/relationships/hyperlink" Target="https://www.inrs.fr/publications/bdd/fichetox/fiche.html?refINRS=FICHETOX_157&amp;section=caracteristiques" TargetMode="External"/><Relationship Id="rId39" Type="http://schemas.openxmlformats.org/officeDocument/2006/relationships/hyperlink" Target="https://www.inrs.fr/publications/bdd/fichetox/fiche.html?refINRS=FICHETOX_157&amp;section=generalites" TargetMode="External"/><Relationship Id="rId42" Type="http://schemas.openxmlformats.org/officeDocument/2006/relationships/hyperlink" Target="https://www.inrs.fr/publications/bdd/fichetox/fiche.html?refINRS=FICHETOX_157&amp;section=incendieExplosion" TargetMode="External"/><Relationship Id="rId43" Type="http://schemas.openxmlformats.org/officeDocument/2006/relationships/hyperlink" Target="https://www.inrs.fr/publications/bdd/fichetox/fiche.html?refINRS=FICHETOX_157&amp;section=pathologieToxicologie" TargetMode="External"/><Relationship Id="rId45" Type="http://schemas.openxmlformats.org/officeDocument/2006/relationships/hyperlink" Target="https://www.inrs.fr/publications/bdd/fichetox/fiche.html?refINRS=FICHETOX_157&amp;section=recommandations" TargetMode="External"/><Relationship Id="rId44" Type="http://schemas.openxmlformats.org/officeDocument/2006/relationships/hyperlink" Target="https://www.inrs.fr/publications/bdd/fichetox/fiche.html?refINRS=FICHETOX_15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2026-04-30T10:14:37Z</dcterms:created>
  <dcterms:modified xsi:type="dcterms:W3CDTF">2026-04-30T10:14:37Z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