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benzinedepetrole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Life Science BV/SRL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benzinedepetrole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analyse-des-dangers-benzinedepetrole"/>
    <w:p>
      <w:pPr>
        <w:pStyle w:val="Heading1"/>
      </w:pPr>
      <w:r>
        <w:t xml:space="preserve">Analyse des dangers : benzinedepetrole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benzinedepetrole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Life Science BV/SRL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Production chimique, Solvant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2023-02-22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2023-02-22.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P201</w:t>
      </w:r>
      <w:r>
        <w:t xml:space="preserve"> </w:t>
      </w:r>
      <w:r>
        <w:t xml:space="preserve">Se procurer les instructions avant utilisation.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P331</w:t>
      </w:r>
      <w:r>
        <w:t xml:space="preserve"> </w:t>
      </w:r>
      <w:r>
        <w:t xml:space="preserve">NE PAS faire vomir.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3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3</w:t>
      </w:r>
    </w:p>
    <w:p>
      <w:pPr>
        <w:pStyle w:val="Compact"/>
        <w:numPr>
          <w:ilvl w:val="0"/>
          <w:numId w:val="1005"/>
        </w:numPr>
      </w:pPr>
      <w:r>
        <w:t xml:space="preserve">IATA : 3</w:t>
      </w:r>
    </w:p>
    <w:p>
      <w:pPr>
        <w:pStyle w:val="Compact"/>
        <w:numPr>
          <w:ilvl w:val="0"/>
          <w:numId w:val="1005"/>
        </w:numPr>
      </w:pPr>
      <w:r>
        <w:t xml:space="preserve">UN : 3295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tous les vêtements contaminés.</w:t>
      </w:r>
      <w:r>
        <w:t xml:space="preserve"> </w:t>
      </w:r>
      <w:r>
        <w:t xml:space="preserve">Rincer la peau à l’eau (ou se doucher).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eyes : Rincer abondamment à l’eau.</w:t>
      </w:r>
      <w:r>
        <w:t xml:space="preserve"> </w:t>
      </w:r>
      <w:r>
        <w:t xml:space="preserve">Consulter un ophtalmologiste.</w:t>
      </w:r>
      <w:r>
        <w:t xml:space="preserve"> </w:t>
      </w:r>
      <w:r>
        <w:t xml:space="preserve">Enlever les lentilles de contact.</w:t>
      </w:r>
    </w:p>
    <w:p>
      <w:pPr>
        <w:pStyle w:val="BodyText"/>
      </w:pPr>
      <w:r>
        <w:t xml:space="preserve">ingestion : Attention lors du vomissement (danger d’aspiration).</w:t>
      </w:r>
      <w:r>
        <w:t xml:space="preserve"> </w:t>
      </w:r>
      <w:r>
        <w:t xml:space="preserve">Tenir les voies respiratoires libres.</w:t>
      </w:r>
      <w:r>
        <w:t xml:space="preserve"> </w:t>
      </w:r>
      <w:r>
        <w:t xml:space="preserve">Possibilité de défaillance pulmonaire après aspiration de vomisseurs.</w:t>
      </w:r>
      <w:r>
        <w:t xml:space="preserve"> </w:t>
      </w:r>
      <w:r>
        <w:t xml:space="preserve">Appeler immédiatement un médecin.</w:t>
      </w:r>
    </w:p>
    <w:p>
      <w:pPr>
        <w:pStyle w:val="BodyText"/>
      </w:pPr>
      <w:r>
        <w:t xml:space="preserve">inhalation : Faire respirer de l’air frais.</w:t>
      </w:r>
      <w:r>
        <w:t xml:space="preserve"> </w:t>
      </w:r>
      <w:r>
        <w:t xml:space="preserve">Consulter un médecin.</w:t>
      </w:r>
    </w:p>
    <w:p>
      <w:r>
        <w:br w:type="page"/>
      </w:r>
    </w:p>
    <w:bookmarkEnd w:id="40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Xf13e0ea1b4ee9c07815305f40efa73a5d7cfc65"/>
    <w:p>
      <w:pPr>
        <w:pStyle w:val="Heading3"/>
      </w:pPr>
      <w:r>
        <w:t xml:space="preserve">Hydrocarbons, C6, n-alkanes, isoalkanes, cyclics, n-hexane rich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70.0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7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0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pentane"/>
    <w:p>
      <w:pPr>
        <w:pStyle w:val="Heading3"/>
      </w:pPr>
      <w:r>
        <w:t xml:space="preserve">pentane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109-66-0</w:t>
      </w:r>
    </w:p>
    <w:p>
      <w:pPr>
        <w:pStyle w:val="Compact"/>
        <w:numPr>
          <w:ilvl w:val="0"/>
          <w:numId w:val="1008"/>
        </w:numPr>
      </w:pPr>
      <w:r>
        <w:t xml:space="preserve">N° EINECS : 203-692-4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9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9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9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600.0 - VLE-8h (mg/m³) : 1800.0 - VLE-15min (ppm) : 750.0 - VLE-15min (mg/m³) : 2250.0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46" w:name="hydrocarbons-c6-isoalkanes"/>
    <w:p>
      <w:pPr>
        <w:pStyle w:val="Heading3"/>
      </w:pPr>
      <w:r>
        <w:t xml:space="preserve">Hydrocarbons, C6, isoalkanes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None</w:t>
      </w:r>
    </w:p>
    <w:p>
      <w:pPr>
        <w:pStyle w:val="Compact"/>
        <w:numPr>
          <w:ilvl w:val="0"/>
          <w:numId w:val="1010"/>
        </w:numPr>
      </w:pPr>
      <w:r>
        <w:t xml:space="preserve">N° EINECS : 295-570-2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1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1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5"/>
    <w:bookmarkEnd w:id="46"/>
    <w:bookmarkStart w:id="48" w:name="X4b58e29254619ea367fb177bc21fe05deb321c3"/>
    <w:p>
      <w:pPr>
        <w:pStyle w:val="Heading3"/>
      </w:pPr>
      <w:r>
        <w:t xml:space="preserve">Hydrocarbons, C6-C7, n-alkanes, isoalkanes, cyclics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None</w:t>
      </w:r>
    </w:p>
    <w:p>
      <w:pPr>
        <w:pStyle w:val="Compact"/>
        <w:numPr>
          <w:ilvl w:val="0"/>
          <w:numId w:val="1012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7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(contact avec la peau) • Matériau : Caoutchouc nitrile.</w:t>
            </w:r>
            <w:r>
              <w:rPr>
                <w:sz w:val="20"/>
                <w:szCs w:val="20"/>
              </w:rPr>
              <w:t xml:space="preserve">• Épaisseur minimale : 0,40 mm.</w:t>
            </w:r>
            <w:r>
              <w:rPr>
                <w:sz w:val="20"/>
                <w:szCs w:val="20"/>
              </w:rPr>
              <w:t xml:space="preserve">• Temps de rupture : 480 min.</w:t>
            </w:r>
            <w:r>
              <w:rPr>
                <w:sz w:val="20"/>
                <w:szCs w:val="20"/>
              </w:rPr>
              <w:t xml:space="preserve">• Matériau testé : Camatril® (KCL 730 / Aldrich Z677442, Taille M). Gants (contact par éclaboussures) • Matériau : Caoutchouc nitrile.</w:t>
            </w:r>
            <w:r>
              <w:rPr>
                <w:sz w:val="20"/>
                <w:szCs w:val="20"/>
              </w:rPr>
              <w:t xml:space="preserve">• Épaisseur minimale : 0,11 mm.</w:t>
            </w:r>
            <w:r>
              <w:rPr>
                <w:sz w:val="20"/>
                <w:szCs w:val="20"/>
              </w:rPr>
              <w:t xml:space="preserve">• Temps de rupture : 10 min.</w:t>
            </w:r>
            <w:r>
              <w:rPr>
                <w:sz w:val="20"/>
                <w:szCs w:val="20"/>
              </w:rPr>
              <w:t xml:space="preserve">• Matériau testé : KCL 741 Dermatril® L. Protection de la peau (contact direct) • Matériau : Caoutchouc nitrile (voir gants ci‑dessus).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• Équipement : Lunettes de sécurité.</w:t>
            </w:r>
            <w:r>
              <w:rPr>
                <w:sz w:val="20"/>
                <w:szCs w:val="20"/>
              </w:rPr>
              <w:t xml:space="preserve">• Normes : Testé et approuvé selon les normes gouvernementales en vigueur (NIOSH US ou EN 166 (EU)).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(contact avec la peau) • Matériau : Caoutchouc nitrile.</w:t>
            </w:r>
            <w:r>
              <w:rPr>
                <w:sz w:val="20"/>
                <w:szCs w:val="20"/>
              </w:rPr>
              <w:t xml:space="preserve">• Épaisseur minimale : 0,40 mm.</w:t>
            </w:r>
            <w:r>
              <w:rPr>
                <w:sz w:val="20"/>
                <w:szCs w:val="20"/>
              </w:rPr>
              <w:t xml:space="preserve">• Temps de rupture : 480 min.</w:t>
            </w:r>
            <w:r>
              <w:rPr>
                <w:sz w:val="20"/>
                <w:szCs w:val="20"/>
              </w:rPr>
              <w:t xml:space="preserve">• Matériau testé : Camatril® (KCL 730 / Aldrich Z677442, Taille M). Gants (contact par éclaboussures) • Matériau : Caoutchouc nitrile.</w:t>
            </w:r>
            <w:r>
              <w:rPr>
                <w:sz w:val="20"/>
                <w:szCs w:val="20"/>
              </w:rPr>
              <w:t xml:space="preserve">• Épaisseur minimale : 0,11 mm.</w:t>
            </w:r>
            <w:r>
              <w:rPr>
                <w:sz w:val="20"/>
                <w:szCs w:val="20"/>
              </w:rPr>
              <w:t xml:space="preserve">• Temps de rupture : 10 min.</w:t>
            </w:r>
            <w:r>
              <w:rPr>
                <w:sz w:val="20"/>
                <w:szCs w:val="20"/>
              </w:rPr>
              <w:t xml:space="preserve">• Matériau testé : KCL 741 Dermatril® L. Protection de la peau (contact direct) • Matériau : Caoutchouc nitrile (voir gants ci‑dessus).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Type de filtre recommandé : Filtre AX (NE 371).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du corps (combinaison) • Type : Tenue de protection antistatique ignifuge.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Travailler sous une hotte. - Ne pas inhaler la substance/le mélange. - Éviter les vapeurs et les aérosols. - Tenir à l’écart de la chaleur et des sources d’inflammation. - Prendre des mesures de précaution contre les décharges électrostatiques. - Enlever immédiatement tout vêtement contaminé. - Se laver les mains et le visage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(et incompatibilités éventuelles) - Tenir le récipient bien fermé dans un endroit sec et bien aéré. - Tenir à l’écart de la chaleur et des sources d’ignition. - Respecter la température de stockage recommandée indiquée sur l’étiquette du produit. - Classe de stockage (Allemagne) (TRGS 510) : 3 — Liquides inflammables.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Production chimique, Solvant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2026-04-30T10:20:25Z</dcterms:created>
  <dcterms:modified xsi:type="dcterms:W3CDTF">2026-04-30T10:20:25Z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