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aerosil_200_hv-msds-fr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Evonik Operations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aerosil_200_hv-msds-fr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4fdcc5e00c2cea97e5eedc166d2d2226542d06e"/>
    <w:p>
      <w:pPr>
        <w:pStyle w:val="Heading1"/>
      </w:pPr>
      <w:r>
        <w:t xml:space="preserve">Analyse des dangers : aerosil_200_hv-msds-fr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aerosil_200_hv-msds-fr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Evonik Operations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3,7 - 4,5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Utilisations identifiées : - Produit d’étanchéité - Encres d’impression multicolores - Peintures et laques - Adhésif - Caoutchouc silicone - Agent antiblocage - Agent anti‑agglomérant - Agent dispersant - Excipient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2022-10-04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2022-10-04.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la zone touchée à l’eau et au savon.</w:t>
      </w:r>
    </w:p>
    <w:p>
      <w:pPr>
        <w:pStyle w:val="BodyText"/>
      </w:pPr>
      <w:r>
        <w:t xml:space="preserve">eyes : Laver les yeux à grande eau. En cas de troubles persistants, faire examiner par un ophtalmologiste.</w:t>
      </w:r>
    </w:p>
    <w:p>
      <w:pPr>
        <w:pStyle w:val="BodyText"/>
      </w:pPr>
      <w:r>
        <w:t xml:space="preserve">ingestion : Se rincer la bouche à l’eau. Boire beaucoup d’eau. En cas de troubles, prévoir des soins médicaux.</w:t>
      </w:r>
    </w:p>
    <w:p>
      <w:pPr>
        <w:pStyle w:val="BodyText"/>
      </w:pPr>
      <w:r>
        <w:t xml:space="preserve">inhalation : En cas de libération de poussière, surveiller les symptômes (toux, éternuements). Transporter la personne à l’air frais.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Xf8646d6830952d04cdab20cd7059f7618109ab3"/>
    <w:p>
      <w:pPr>
        <w:pStyle w:val="Heading3"/>
      </w:pPr>
      <w:r>
        <w:t xml:space="preserve">Dioxyde de silicium, préparé par voie chimique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112945-52-5, 7631-86-9</w:t>
      </w:r>
    </w:p>
    <w:p>
      <w:pPr>
        <w:pStyle w:val="Compact"/>
        <w:numPr>
          <w:ilvl w:val="0"/>
          <w:numId w:val="1004"/>
        </w:numPr>
      </w:pPr>
      <w:r>
        <w:t xml:space="preserve">N° EINECS : 231-545-4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 fabriqués à partir de tissu, caoutchouc ou cuir.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sécurité à écrans latéraux.</w:t>
            </w:r>
            <w:r>
              <w:rPr>
                <w:sz w:val="20"/>
                <w:szCs w:val="20"/>
              </w:rPr>
              <w:t xml:space="preserve">- En cas d’apparition de poussières : lunettes ou masques respiratoires (voir section respiratoire).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 fabriqués à partir de tissu, caoutchouc ou cuir.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équipement spécial requis en général.</w:t>
            </w:r>
            <w:r>
              <w:rPr>
                <w:sz w:val="20"/>
                <w:szCs w:val="20"/>
              </w:rPr>
              <w:t xml:space="preserve">- En cas d’apparition de poussières : masque antipoussière disposant d’un filtre à particules P2.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équipement de protection spécial requis (pas de combinaison ou de vêtement de protection spécifique).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Mesures techniques : prévoir un système d’aspiration/ventilation correct au poste de travail ou sur les machines (système d’aspiration si nécessaire). - Conseil de manipulation en toute sécurité : manipuler conformément aux bonnes pratiques d’hygiène industrielle et aux consignes de sécurité. - Éviter tout contact avec la peau/les yeux : utiliser une protection pour les mains, les yeux et le corps. - En cas de dépassement des valeurs limites spécifiques au lieu de travail ou si d’assez grosses quantités se dégagent (fuites, déversements, poussières) : utiliser la protection respiratoire indiquée. - Mesures à prendre pour éviter le contact : aucune information disponible.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 : - Éviter l’accumulation de charges électrostatiques. - Conserver dans un endroit sec.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Utilisations identifiées : - Produit d’étanchéité - Encres d’impression multicolores - Peintures et laques - Adhésif - Caoutchouc silicone - Agent antiblocage - Agent anti‑agglomérant - Agent dispersant - Excipient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2026-04-30T10:40:00Z</dcterms:created>
  <dcterms:modified xsi:type="dcterms:W3CDTF">2026-04-30T10:40:00Z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