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solopol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SC Johnson Professional CA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2026-04-30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solopol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2" w:name="analyse-des-dangers-solopol"/>
    <w:p>
      <w:pPr>
        <w:pStyle w:val="Heading1"/>
      </w:pPr>
      <w:r>
        <w:t xml:space="preserve">Analyse des dangers : solopol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solopol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SC Johnson Professional CA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pâte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pâte (consistance épaisse et visqueuse)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5.0 - 5.5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Hand Wash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2020-06-26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2020-06-26. Elle a donc 5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-</w:t>
      </w:r>
    </w:p>
    <w:p>
      <w:pPr>
        <w:pStyle w:val="Compact"/>
        <w:numPr>
          <w:ilvl w:val="0"/>
          <w:numId w:val="1003"/>
        </w:numPr>
      </w:pPr>
      <w:r>
        <w:t xml:space="preserve">RID : -</w:t>
      </w:r>
    </w:p>
    <w:p>
      <w:pPr>
        <w:pStyle w:val="Compact"/>
        <w:numPr>
          <w:ilvl w:val="0"/>
          <w:numId w:val="1003"/>
        </w:numPr>
      </w:pPr>
      <w:r>
        <w:t xml:space="preserve">ADN : -</w:t>
      </w:r>
    </w:p>
    <w:p>
      <w:pPr>
        <w:pStyle w:val="Compact"/>
        <w:numPr>
          <w:ilvl w:val="0"/>
          <w:numId w:val="1003"/>
        </w:numPr>
      </w:pPr>
      <w:r>
        <w:t xml:space="preserve">IMDG : -</w:t>
      </w:r>
    </w:p>
    <w:p>
      <w:pPr>
        <w:pStyle w:val="Compact"/>
        <w:numPr>
          <w:ilvl w:val="0"/>
          <w:numId w:val="1003"/>
        </w:numPr>
      </w:pPr>
      <w:r>
        <w:t xml:space="preserve">IATA : -</w:t>
      </w:r>
    </w:p>
    <w:p>
      <w:pPr>
        <w:pStyle w:val="Compact"/>
        <w:numPr>
          <w:ilvl w:val="0"/>
          <w:numId w:val="1003"/>
        </w:numPr>
      </w:pPr>
      <w:r>
        <w:t xml:space="preserve">UN : -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Produit non‑toxique ; aucune action spécifique indiquée.</w:t>
      </w:r>
    </w:p>
    <w:p>
      <w:pPr>
        <w:pStyle w:val="BodyText"/>
      </w:pPr>
      <w:r>
        <w:t xml:space="preserve">eyes : Rincer immédiatement les yeux avec de grandes quantités d’eau, continuer à rincer pendant 15 minutes. Si l’irritation persiste, consulter un professionnel de santé.</w:t>
      </w:r>
    </w:p>
    <w:p>
      <w:pPr>
        <w:pStyle w:val="BodyText"/>
      </w:pPr>
      <w:r>
        <w:t xml:space="preserve">ingestion : Consulter un médecin immédiatement.</w:t>
      </w:r>
    </w:p>
    <w:p>
      <w:pPr>
        <w:pStyle w:val="BodyText"/>
      </w:pPr>
      <w:r>
        <w:t xml:space="preserve">inhalation : Pas d’information disponible dans le document.</w:t>
      </w:r>
    </w:p>
    <w:p>
      <w:r>
        <w:br w:type="page"/>
      </w:r>
    </w:p>
    <w:bookmarkEnd w:id="31"/>
    <w:bookmarkStart w:id="49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laureth-5"/>
    <w:p>
      <w:pPr>
        <w:pStyle w:val="Heading3"/>
      </w:pPr>
      <w:r>
        <w:t xml:space="preserve">Laureth-5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4"/>
        </w:numPr>
      </w:pPr>
      <w:r>
        <w:t xml:space="preserve">N° CAS : 68439-50-9</w:t>
      </w:r>
    </w:p>
    <w:p>
      <w:pPr>
        <w:pStyle w:val="Compact"/>
        <w:numPr>
          <w:ilvl w:val="0"/>
          <w:numId w:val="1004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5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5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Start w:id="35" w:name="sulfated-castor-oil"/>
    <w:p>
      <w:pPr>
        <w:pStyle w:val="Heading3"/>
      </w:pPr>
      <w:r>
        <w:t xml:space="preserve">Sulfated Castor Oil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8002-33-3</w:t>
      </w:r>
    </w:p>
    <w:p>
      <w:pPr>
        <w:pStyle w:val="Compact"/>
        <w:numPr>
          <w:ilvl w:val="0"/>
          <w:numId w:val="1006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4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4"/>
    <w:bookmarkEnd w:id="35"/>
    <w:bookmarkStart w:id="37" w:name="X039c486f2c20cc7f77737f9df503e7dbbe5f3cc"/>
    <w:p>
      <w:pPr>
        <w:pStyle w:val="Heading3"/>
      </w:pPr>
      <w:r>
        <w:t xml:space="preserve">Alcohols, C12-14 Ethoxylated, Sulfates, Sodium Salts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68891-38-3</w:t>
      </w:r>
    </w:p>
    <w:p>
      <w:pPr>
        <w:pStyle w:val="Compact"/>
        <w:numPr>
          <w:ilvl w:val="0"/>
          <w:numId w:val="1008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9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9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9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6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6"/>
    <w:bookmarkEnd w:id="37"/>
    <w:bookmarkStart w:id="48" w:name="titanium-dioxide"/>
    <w:p>
      <w:pPr>
        <w:pStyle w:val="Heading3"/>
      </w:pPr>
      <w:r>
        <w:t xml:space="preserve">Titanium Dioxide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13463-67-7</w:t>
      </w:r>
    </w:p>
    <w:p>
      <w:pPr>
        <w:pStyle w:val="Compact"/>
        <w:numPr>
          <w:ilvl w:val="0"/>
          <w:numId w:val="1010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10.0</w:t>
            </w:r>
          </w:p>
        </w:tc>
      </w:tr>
    </w:tbl>
    <w:bookmarkStart w:id="47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8">
        <w:r>
          <w:rPr>
            <w:rStyle w:val="Hyperlink"/>
            <w:color w:val="0856A0"/>
            <w:u w:val="single"/>
          </w:rPr>
          <w:t xml:space="preserve">Fiche n°291 - Dioxyde de titane</w:t>
        </w:r>
      </w:hyperlink>
    </w:p>
    <w:p>
      <w:pPr>
        <w:numPr>
          <w:ilvl w:val="0"/>
          <w:numId w:val="1011"/>
        </w:numPr>
      </w:pPr>
      <w:hyperlink r:id="rId3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1"/>
        </w:numPr>
      </w:pPr>
      <w:hyperlink r:id="rId4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1"/>
        </w:numPr>
      </w:pPr>
      <w:hyperlink r:id="rId4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1"/>
        </w:numPr>
      </w:pPr>
      <w:hyperlink r:id="rId42">
        <w:r>
          <w:rPr>
            <w:rStyle w:val="Hyperlink"/>
            <w:color w:val="0856A0"/>
            <w:u w:val="single"/>
          </w:rPr>
          <w:t xml:space="preserve">Incendie - Explosion[5, 15, 16]</w:t>
        </w:r>
      </w:hyperlink>
    </w:p>
    <w:p>
      <w:pPr>
        <w:numPr>
          <w:ilvl w:val="0"/>
          <w:numId w:val="1011"/>
        </w:numPr>
      </w:pPr>
      <w:hyperlink r:id="rId4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1"/>
        </w:numPr>
      </w:pPr>
      <w:hyperlink r:id="rId4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1"/>
        </w:numPr>
      </w:pPr>
      <w:hyperlink r:id="rId4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1"/>
        </w:numPr>
      </w:pPr>
      <w:hyperlink r:id="rId4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7"/>
    <w:bookmarkEnd w:id="48"/>
    <w:bookmarkEnd w:id="49"/>
    <w:bookmarkStart w:id="50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Protection des mains : « Ne s’applique pas. »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Protection des yeux/du visage : « Aucune protection oculaire spécifiquement n’est exigée dans les conditions normales d’utilisation. »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50"/>
    <w:bookmarkStart w:id="51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Ne pas utiliser de protection oculaire spécifique dans les conditions normales d’utilisation. - Ne pas appliquer de protection des mains. - Respecter de bonnes habitudes d’hygiène personnelle lorsqu’on travaille avec le produit. - Faire attention aux surfaces pouvant devenir glissantes (précautions individuelles lors d’un déversement accidentel).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 : conserver à une température ne dépassant pas 40 °C.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Hand Wash</w:t>
            </w:r>
          </w:p>
        </w:tc>
      </w:tr>
    </w:tbl>
    <w:bookmarkEnd w:id="51"/>
    <w:bookmarkEnd w:id="52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8" Type="http://schemas.openxmlformats.org/officeDocument/2006/relationships/hyperlink" Target="https://www.inrs.fr/publications/bdd/fichetox/fiche.html?refINRS=FICHETOX_291" TargetMode="External"/><Relationship Id="rId41" Type="http://schemas.openxmlformats.org/officeDocument/2006/relationships/hyperlink" Target="https://www.inrs.fr/publications/bdd/fichetox/fiche.html?refINRS=FICHETOX_291&amp;section=VLEPMesurage" TargetMode="External"/><Relationship Id="rId46" Type="http://schemas.openxmlformats.org/officeDocument/2006/relationships/hyperlink" Target="https://www.inrs.fr/publications/bdd/fichetox/fiche.html?refINRS=FICHETOX_291&amp;section=bibliographieAuteurs" TargetMode="External"/><Relationship Id="rId40" Type="http://schemas.openxmlformats.org/officeDocument/2006/relationships/hyperlink" Target="https://www.inrs.fr/publications/bdd/fichetox/fiche.html?refINRS=FICHETOX_291&amp;section=caracteristiques" TargetMode="External"/><Relationship Id="rId39" Type="http://schemas.openxmlformats.org/officeDocument/2006/relationships/hyperlink" Target="https://www.inrs.fr/publications/bdd/fichetox/fiche.html?refINRS=FICHETOX_291&amp;section=generalites" TargetMode="External"/><Relationship Id="rId42" Type="http://schemas.openxmlformats.org/officeDocument/2006/relationships/hyperlink" Target="https://www.inrs.fr/publications/bdd/fichetox/fiche.html?refINRS=FICHETOX_291&amp;section=incendieExplosion" TargetMode="External"/><Relationship Id="rId43" Type="http://schemas.openxmlformats.org/officeDocument/2006/relationships/hyperlink" Target="https://www.inrs.fr/publications/bdd/fichetox/fiche.html?refINRS=FICHETOX_291&amp;section=pathologieToxicologie" TargetMode="External"/><Relationship Id="rId45" Type="http://schemas.openxmlformats.org/officeDocument/2006/relationships/hyperlink" Target="https://www.inrs.fr/publications/bdd/fichetox/fiche.html?refINRS=FICHETOX_291&amp;section=recommandations" TargetMode="External"/><Relationship Id="rId44" Type="http://schemas.openxmlformats.org/officeDocument/2006/relationships/hyperlink" Target="https://www.inrs.fr/publications/bdd/fichetox/fiche.html?refINRS=FICHETOX_291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8" Type="http://schemas.openxmlformats.org/officeDocument/2006/relationships/hyperlink" Target="https://www.inrs.fr/publications/bdd/fichetox/fiche.html?refINRS=FICHETOX_291" TargetMode="External"/><Relationship Id="rId41" Type="http://schemas.openxmlformats.org/officeDocument/2006/relationships/hyperlink" Target="https://www.inrs.fr/publications/bdd/fichetox/fiche.html?refINRS=FICHETOX_291&amp;section=VLEPMesurage" TargetMode="External"/><Relationship Id="rId46" Type="http://schemas.openxmlformats.org/officeDocument/2006/relationships/hyperlink" Target="https://www.inrs.fr/publications/bdd/fichetox/fiche.html?refINRS=FICHETOX_291&amp;section=bibliographieAuteurs" TargetMode="External"/><Relationship Id="rId40" Type="http://schemas.openxmlformats.org/officeDocument/2006/relationships/hyperlink" Target="https://www.inrs.fr/publications/bdd/fichetox/fiche.html?refINRS=FICHETOX_291&amp;section=caracteristiques" TargetMode="External"/><Relationship Id="rId39" Type="http://schemas.openxmlformats.org/officeDocument/2006/relationships/hyperlink" Target="https://www.inrs.fr/publications/bdd/fichetox/fiche.html?refINRS=FICHETOX_291&amp;section=generalites" TargetMode="External"/><Relationship Id="rId42" Type="http://schemas.openxmlformats.org/officeDocument/2006/relationships/hyperlink" Target="https://www.inrs.fr/publications/bdd/fichetox/fiche.html?refINRS=FICHETOX_291&amp;section=incendieExplosion" TargetMode="External"/><Relationship Id="rId43" Type="http://schemas.openxmlformats.org/officeDocument/2006/relationships/hyperlink" Target="https://www.inrs.fr/publications/bdd/fichetox/fiche.html?refINRS=FICHETOX_291&amp;section=pathologieToxicologie" TargetMode="External"/><Relationship Id="rId45" Type="http://schemas.openxmlformats.org/officeDocument/2006/relationships/hyperlink" Target="https://www.inrs.fr/publications/bdd/fichetox/fiche.html?refINRS=FICHETOX_291&amp;section=recommandations" TargetMode="External"/><Relationship Id="rId44" Type="http://schemas.openxmlformats.org/officeDocument/2006/relationships/hyperlink" Target="https://www.inrs.fr/publications/bdd/fichetox/fiche.html?refINRS=FICHETOX_291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2026-04-30T10:56:51Z</dcterms:created>
  <dcterms:modified xsi:type="dcterms:W3CDTF">2026-04-30T10:56:51Z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