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stripcare</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ZEP INDUSTRIES</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2026-04-30</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stripcare</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81" w:name="analyse-des-dangers-stripcare"/>
    <w:p>
      <w:pPr>
        <w:pStyle w:val="Heading1"/>
      </w:pPr>
      <w:r>
        <w:t xml:space="preserve">Analyse des dangers : stripcare</w:t>
      </w:r>
    </w:p>
    <w:p>
      <w:pPr>
        <w:pStyle w:val="FirstParagraph"/>
      </w:pPr>
      <w:r>
        <w:t xml:space="preserve">Dans la suite, nous détaillons les dangers associés au produit</w:t>
      </w:r>
      <w:r>
        <w:t xml:space="preserve"> </w:t>
      </w:r>
      <w:r>
        <w:rPr>
          <w:b/>
          <w:bCs/>
        </w:rPr>
        <w:t xml:space="preserve">stripcare</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ZEP INDUSTRIES</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 prévue : Utilisations industrielles (SU3) et professionnelles (SU22)</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2011-07-13</w:t>
            </w:r>
          </w:p>
        </w:tc>
      </w:tr>
    </w:tbl>
    <w:p>
      <w:pPr>
        <w:pStyle w:val="BodyText"/>
      </w:pPr>
      <w:r>
        <w:t xml:space="preserve"> </w:t>
      </w:r>
      <w:r>
        <w:t xml:space="preserve">La FDS date du 2011-07-13. Elle a donc 14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Pyrrolidone de N‑Ethyle devrait être classée H360D selon les dernières classifications harmonisées publiées par l’ECHA.</w:t>
      </w:r>
      <w:r>
        <w:br/>
      </w:r>
    </w:p>
    <w:p>
      <w:pPr>
        <w:pStyle w:val="Compact"/>
        <w:numPr>
          <w:ilvl w:val="0"/>
          <w:numId w:val="1003"/>
        </w:numPr>
      </w:pPr>
      <w:r>
        <w:t xml:space="preserve">La substance Pyrrolidone de N‑Ethyle est classée H360D et sa concentration (25.0–50.0 %) dépasse le seuil de 0.3 %. Le produit devrait donc être classé H360D.</w:t>
      </w:r>
      <w:r>
        <w:br/>
      </w:r>
    </w:p>
    <w:p>
      <w:pPr>
        <w:pStyle w:val="Compact"/>
        <w:numPr>
          <w:ilvl w:val="0"/>
          <w:numId w:val="1003"/>
        </w:numPr>
      </w:pPr>
      <w:r>
        <w:t xml:space="preserve">Le produit doit avoir la classification supplémentaire [</w:t>
      </w:r>
      <w:r>
        <w:t xml:space="preserve">‘</w:t>
      </w:r>
      <w:r>
        <w:t xml:space="preserve">H360D</w:t>
      </w:r>
      <w:r>
        <w:t xml:space="preserve">’</w:t>
      </w:r>
      <w:r>
        <w:t xml:space="preserve">].</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4"/>
        </w:numPr>
      </w:pPr>
      <w:r>
        <w:t xml:space="preserve">ADR : -</w:t>
      </w:r>
    </w:p>
    <w:p>
      <w:pPr>
        <w:pStyle w:val="Compact"/>
        <w:numPr>
          <w:ilvl w:val="0"/>
          <w:numId w:val="1004"/>
        </w:numPr>
      </w:pPr>
      <w:r>
        <w:t xml:space="preserve">RID : -</w:t>
      </w:r>
    </w:p>
    <w:p>
      <w:pPr>
        <w:pStyle w:val="Compact"/>
        <w:numPr>
          <w:ilvl w:val="0"/>
          <w:numId w:val="1004"/>
        </w:numPr>
      </w:pPr>
      <w:r>
        <w:t xml:space="preserve">ADN : -</w:t>
      </w:r>
    </w:p>
    <w:p>
      <w:pPr>
        <w:pStyle w:val="Compact"/>
        <w:numPr>
          <w:ilvl w:val="0"/>
          <w:numId w:val="1004"/>
        </w:numPr>
      </w:pPr>
      <w:r>
        <w:t xml:space="preserve">IMDG : -</w:t>
      </w:r>
    </w:p>
    <w:p>
      <w:pPr>
        <w:pStyle w:val="Compact"/>
        <w:numPr>
          <w:ilvl w:val="0"/>
          <w:numId w:val="1004"/>
        </w:numPr>
      </w:pPr>
      <w:r>
        <w:t xml:space="preserve">IATA : -</w:t>
      </w:r>
    </w:p>
    <w:p>
      <w:pPr>
        <w:pStyle w:val="Compact"/>
        <w:numPr>
          <w:ilvl w:val="0"/>
          <w:numId w:val="1004"/>
        </w:numPr>
      </w:pPr>
      <w:r>
        <w:t xml:space="preserve">UN : -</w:t>
      </w:r>
    </w:p>
    <w:bookmarkEnd w:id="30"/>
    <w:bookmarkStart w:id="31" w:name="Xda6f178de632779b007ca26fa4959a763d2c7f4"/>
    <w:p>
      <w:pPr>
        <w:pStyle w:val="Heading2"/>
      </w:pPr>
      <w:r>
        <w:t xml:space="preserve">Dangers et/ou mesures par voie d’exposition</w:t>
      </w:r>
    </w:p>
    <w:p>
      <w:pPr>
        <w:pStyle w:val="FirstParagraph"/>
      </w:pPr>
      <w:r>
        <w:t xml:space="preserve">skin : Retirer immédiatement les vêtements contaminés.</w:t>
      </w:r>
      <w:r>
        <w:t xml:space="preserve"> </w:t>
      </w:r>
      <w:r>
        <w:t xml:space="preserve">Laver la zone touchée à l’eau et au savon, puis bien rincer.</w:t>
      </w:r>
    </w:p>
    <w:p>
      <w:pPr>
        <w:pStyle w:val="BodyText"/>
      </w:pPr>
      <w:r>
        <w:t xml:space="preserve">eyes : Rincer les yeux pendant plusieurs minutes sous l’eau courante, en écartant bien les paupières.</w:t>
      </w:r>
      <w:r>
        <w:t xml:space="preserve"> </w:t>
      </w:r>
      <w:r>
        <w:t xml:space="preserve">Consulter un médecin après lavage.</w:t>
      </w:r>
    </w:p>
    <w:p>
      <w:pPr>
        <w:pStyle w:val="BodyText"/>
      </w:pPr>
      <w:r>
        <w:t xml:space="preserve">ingestion : Ne pas faire vomir.</w:t>
      </w:r>
      <w:r>
        <w:t xml:space="preserve"> </w:t>
      </w:r>
      <w:r>
        <w:t xml:space="preserve">Demander d’urgence une assistance médicale.</w:t>
      </w:r>
    </w:p>
    <w:p>
      <w:pPr>
        <w:pStyle w:val="BodyText"/>
      </w:pPr>
      <w:r>
        <w:t xml:space="preserve">inhalation : Donner de l’air frais.</w:t>
      </w:r>
      <w:r>
        <w:t xml:space="preserve"> </w:t>
      </w:r>
      <w:r>
        <w:t xml:space="preserve">Consulter un médecin en cas de troubles respiratoires.</w:t>
      </w:r>
    </w:p>
    <w:p>
      <w:r>
        <w:br w:type="page"/>
      </w:r>
    </w:p>
    <w:bookmarkEnd w:id="31"/>
    <w:bookmarkStart w:id="78" w:name="Xd3fd47f9279b52cc9d4b00e07bdfde0bea6594f"/>
    <w:p>
      <w:pPr>
        <w:pStyle w:val="Heading2"/>
      </w:pPr>
      <w:r>
        <w:t xml:space="preserve">Informations relatives aux substances dangereuses présentes</w:t>
      </w:r>
    </w:p>
    <w:bookmarkStart w:id="42" w:name="pyrrolidone-de-n-ethyle"/>
    <w:p>
      <w:pPr>
        <w:pStyle w:val="Heading3"/>
      </w:pPr>
      <w:r>
        <w:t xml:space="preserve">Pyrrolidone de N-Ethyle</w:t>
      </w:r>
    </w:p>
    <w:p>
      <w:pPr>
        <w:pStyle w:val="FirstParagraph"/>
      </w:pPr>
      <w:r>
        <w:rPr>
          <w:b/>
          <w:bCs/>
        </w:rPr>
        <w:t xml:space="preserve">Identification</w:t>
      </w:r>
    </w:p>
    <w:p>
      <w:pPr>
        <w:pStyle w:val="Compact"/>
        <w:numPr>
          <w:ilvl w:val="0"/>
          <w:numId w:val="1005"/>
        </w:numPr>
      </w:pPr>
      <w:r>
        <w:t xml:space="preserve">N° CAS : 2687-91-4</w:t>
      </w:r>
    </w:p>
    <w:p>
      <w:pPr>
        <w:pStyle w:val="Compact"/>
        <w:numPr>
          <w:ilvl w:val="0"/>
          <w:numId w:val="1005"/>
        </w:numPr>
      </w:pPr>
      <w:r>
        <w:t xml:space="preserve">N° EINECS : 220-250-6</w:t>
      </w:r>
    </w:p>
    <w:p>
      <w:pPr>
        <w:pStyle w:val="FirstParagraph"/>
      </w:pPr>
      <w:r>
        <w:rPr>
          <w:b/>
          <w:bCs/>
        </w:rPr>
        <w:t xml:space="preserve">Concentration</w:t>
      </w:r>
      <w:r>
        <w:t xml:space="preserve"> </w:t>
      </w:r>
      <w:r>
        <w:t xml:space="preserve">:from 25.0 to 50.0</w:t>
      </w:r>
    </w:p>
    <w:p>
      <w:pPr>
        <w:pStyle w:val="BodyText"/>
      </w:pPr>
      <w:r>
        <w:rPr>
          <w:b/>
          <w:bCs/>
        </w:rPr>
        <w:t xml:space="preserve">Dangers</w:t>
      </w:r>
      <w:r>
        <w:t xml:space="preserve"> </w:t>
      </w:r>
      <w:r>
        <w:t xml:space="preserve">:</w:t>
      </w:r>
    </w:p>
    <w:p>
      <w:pPr>
        <w:numPr>
          <w:ilvl w:val="0"/>
          <w:numId w:val="1006"/>
        </w:numPr>
      </w:pPr>
      <w:r>
        <w:t xml:space="preserve">H318</w:t>
      </w:r>
      <w:r>
        <w:t xml:space="preserve"> </w:t>
      </w:r>
      <w:r>
        <w:t xml:space="preserve">Provoque des lésions oculaires graves.</w:t>
      </w:r>
    </w:p>
    <w:p>
      <w:pPr>
        <w:numPr>
          <w:ilvl w:val="0"/>
          <w:numId w:val="1006"/>
        </w:numPr>
      </w:pPr>
      <w:r>
        <w:t xml:space="preserve">H360D</w:t>
      </w:r>
      <w:r>
        <w:t xml:space="preserve"> </w:t>
      </w:r>
      <w:r>
        <w:t xml:space="preserve">Peut nuire à la fertilité ou au fœtus.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1" w:name="propriétés"/>
    <w:p>
      <w:pPr>
        <w:pStyle w:val="Heading4"/>
      </w:pPr>
      <w:r>
        <w:t xml:space="preserve">Propriétés</w:t>
      </w:r>
    </w:p>
    <w:p>
      <w:pPr>
        <w:pStyle w:val="FirstParagraph"/>
      </w:pPr>
      <w:hyperlink r:id="rId32">
        <w:r>
          <w:rPr>
            <w:rStyle w:val="Hyperlink"/>
            <w:color w:val="0856A0"/>
            <w:u w:val="single"/>
          </w:rPr>
          <w:t xml:space="preserve">Fiche n°270 - N-Ethyl-2-pyrrolidone</w:t>
        </w:r>
      </w:hyperlink>
    </w:p>
    <w:p>
      <w:pPr>
        <w:numPr>
          <w:ilvl w:val="0"/>
          <w:numId w:val="1007"/>
        </w:numPr>
      </w:pPr>
      <w:hyperlink r:id="rId33">
        <w:r>
          <w:rPr>
            <w:rStyle w:val="Hyperlink"/>
            <w:color w:val="0856A0"/>
            <w:u w:val="single"/>
          </w:rPr>
          <w:t xml:space="preserve">Généralités</w:t>
        </w:r>
      </w:hyperlink>
    </w:p>
    <w:p>
      <w:pPr>
        <w:numPr>
          <w:ilvl w:val="0"/>
          <w:numId w:val="1007"/>
        </w:numPr>
      </w:pPr>
      <w:hyperlink r:id="rId34">
        <w:r>
          <w:rPr>
            <w:rStyle w:val="Hyperlink"/>
            <w:color w:val="0856A0"/>
            <w:u w:val="single"/>
          </w:rPr>
          <w:t xml:space="preserve">Caractéristiques</w:t>
        </w:r>
      </w:hyperlink>
    </w:p>
    <w:p>
      <w:pPr>
        <w:numPr>
          <w:ilvl w:val="0"/>
          <w:numId w:val="1007"/>
        </w:numPr>
      </w:pPr>
      <w:hyperlink r:id="rId35">
        <w:r>
          <w:rPr>
            <w:rStyle w:val="Hyperlink"/>
            <w:color w:val="0856A0"/>
            <w:u w:val="single"/>
          </w:rPr>
          <w:t xml:space="preserve">VLEPMesurage</w:t>
        </w:r>
      </w:hyperlink>
    </w:p>
    <w:p>
      <w:pPr>
        <w:numPr>
          <w:ilvl w:val="0"/>
          <w:numId w:val="1007"/>
        </w:numPr>
      </w:pPr>
      <w:hyperlink r:id="rId36">
        <w:r>
          <w:rPr>
            <w:rStyle w:val="Hyperlink"/>
            <w:color w:val="0856A0"/>
            <w:u w:val="single"/>
          </w:rPr>
          <w:t xml:space="preserve">Incendie - Explosion[6-8]</w:t>
        </w:r>
      </w:hyperlink>
    </w:p>
    <w:p>
      <w:pPr>
        <w:numPr>
          <w:ilvl w:val="0"/>
          <w:numId w:val="1007"/>
        </w:numPr>
      </w:pPr>
      <w:hyperlink r:id="rId37">
        <w:r>
          <w:rPr>
            <w:rStyle w:val="Hyperlink"/>
            <w:color w:val="0856A0"/>
            <w:u w:val="single"/>
          </w:rPr>
          <w:t xml:space="preserve">Pathologie - Toxicologie</w:t>
        </w:r>
      </w:hyperlink>
    </w:p>
    <w:p>
      <w:pPr>
        <w:numPr>
          <w:ilvl w:val="0"/>
          <w:numId w:val="1007"/>
        </w:numPr>
      </w:pPr>
      <w:hyperlink r:id="rId38">
        <w:r>
          <w:rPr>
            <w:rStyle w:val="Hyperlink"/>
            <w:color w:val="0856A0"/>
            <w:u w:val="single"/>
          </w:rPr>
          <w:t xml:space="preserve">Règlementation</w:t>
        </w:r>
      </w:hyperlink>
    </w:p>
    <w:p>
      <w:pPr>
        <w:numPr>
          <w:ilvl w:val="0"/>
          <w:numId w:val="1007"/>
        </w:numPr>
      </w:pPr>
      <w:hyperlink r:id="rId39">
        <w:r>
          <w:rPr>
            <w:rStyle w:val="Hyperlink"/>
            <w:color w:val="0856A0"/>
            <w:u w:val="single"/>
          </w:rPr>
          <w:t xml:space="preserve">Recommandations</w:t>
        </w:r>
      </w:hyperlink>
    </w:p>
    <w:p>
      <w:pPr>
        <w:numPr>
          <w:ilvl w:val="0"/>
          <w:numId w:val="1007"/>
        </w:numPr>
      </w:pPr>
      <w:hyperlink r:id="rId40">
        <w:r>
          <w:rPr>
            <w:rStyle w:val="Hyperlink"/>
            <w:color w:val="0856A0"/>
            <w:u w:val="single"/>
          </w:rPr>
          <w:t xml:space="preserve">Bibliographie</w:t>
        </w:r>
      </w:hyperlink>
    </w:p>
    <w:bookmarkEnd w:id="41"/>
    <w:bookmarkEnd w:id="42"/>
    <w:bookmarkStart w:id="53" w:name="succinate-de-diméthyle"/>
    <w:p>
      <w:pPr>
        <w:pStyle w:val="Heading3"/>
      </w:pPr>
      <w:r>
        <w:t xml:space="preserve">succinate de diméthyle</w:t>
      </w:r>
    </w:p>
    <w:p>
      <w:pPr>
        <w:pStyle w:val="FirstParagraph"/>
      </w:pPr>
      <w:r>
        <w:rPr>
          <w:b/>
          <w:bCs/>
        </w:rPr>
        <w:t xml:space="preserve">Identification</w:t>
      </w:r>
    </w:p>
    <w:p>
      <w:pPr>
        <w:pStyle w:val="Compact"/>
        <w:numPr>
          <w:ilvl w:val="0"/>
          <w:numId w:val="1008"/>
        </w:numPr>
      </w:pPr>
      <w:r>
        <w:t xml:space="preserve">N° CAS : 106-65-0</w:t>
      </w:r>
    </w:p>
    <w:p>
      <w:pPr>
        <w:pStyle w:val="Compact"/>
        <w:numPr>
          <w:ilvl w:val="0"/>
          <w:numId w:val="1008"/>
        </w:numPr>
      </w:pPr>
      <w:r>
        <w:t xml:space="preserve">N° EINECS : 203-419-9</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pStyle w:val="Compact"/>
        <w:numPr>
          <w:ilvl w:val="0"/>
          <w:numId w:val="1009"/>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2" w:name="propriétés-1"/>
    <w:p>
      <w:pPr>
        <w:pStyle w:val="Heading4"/>
      </w:pPr>
      <w:r>
        <w:t xml:space="preserve">Propriétés</w:t>
      </w:r>
    </w:p>
    <w:p>
      <w:pPr>
        <w:pStyle w:val="FirstParagraph"/>
      </w:pPr>
      <w:hyperlink r:id="rId43">
        <w:r>
          <w:rPr>
            <w:rStyle w:val="Hyperlink"/>
            <w:color w:val="0856A0"/>
            <w:u w:val="single"/>
          </w:rPr>
          <w:t xml:space="preserve">Fiche n°252 - Adipate de diméthyle, Glutarate de diméthyle, Succinate de diméthyle</w:t>
        </w:r>
      </w:hyperlink>
    </w:p>
    <w:p>
      <w:pPr>
        <w:numPr>
          <w:ilvl w:val="0"/>
          <w:numId w:val="1010"/>
        </w:numPr>
      </w:pPr>
      <w:hyperlink r:id="rId44">
        <w:r>
          <w:rPr>
            <w:rStyle w:val="Hyperlink"/>
            <w:color w:val="0856A0"/>
            <w:u w:val="single"/>
          </w:rPr>
          <w:t xml:space="preserve">Généralités</w:t>
        </w:r>
      </w:hyperlink>
    </w:p>
    <w:p>
      <w:pPr>
        <w:numPr>
          <w:ilvl w:val="0"/>
          <w:numId w:val="1010"/>
        </w:numPr>
      </w:pPr>
      <w:hyperlink r:id="rId45">
        <w:r>
          <w:rPr>
            <w:rStyle w:val="Hyperlink"/>
            <w:color w:val="0856A0"/>
            <w:u w:val="single"/>
          </w:rPr>
          <w:t xml:space="preserve">Caractéristiques</w:t>
        </w:r>
      </w:hyperlink>
    </w:p>
    <w:p>
      <w:pPr>
        <w:numPr>
          <w:ilvl w:val="0"/>
          <w:numId w:val="1010"/>
        </w:numPr>
      </w:pPr>
      <w:hyperlink r:id="rId46">
        <w:r>
          <w:rPr>
            <w:rStyle w:val="Hyperlink"/>
            <w:color w:val="0856A0"/>
            <w:u w:val="single"/>
          </w:rPr>
          <w:t xml:space="preserve">VLEPMesurage</w:t>
        </w:r>
      </w:hyperlink>
    </w:p>
    <w:p>
      <w:pPr>
        <w:numPr>
          <w:ilvl w:val="0"/>
          <w:numId w:val="1010"/>
        </w:numPr>
      </w:pPr>
      <w:hyperlink r:id="rId47">
        <w:r>
          <w:rPr>
            <w:rStyle w:val="Hyperlink"/>
            <w:color w:val="0856A0"/>
            <w:u w:val="single"/>
          </w:rPr>
          <w:t xml:space="preserve">Incendie - Explosion[1, 3, 4]</w:t>
        </w:r>
      </w:hyperlink>
    </w:p>
    <w:p>
      <w:pPr>
        <w:numPr>
          <w:ilvl w:val="0"/>
          <w:numId w:val="1010"/>
        </w:numPr>
      </w:pPr>
      <w:hyperlink r:id="rId48">
        <w:r>
          <w:rPr>
            <w:rStyle w:val="Hyperlink"/>
            <w:color w:val="0856A0"/>
            <w:u w:val="single"/>
          </w:rPr>
          <w:t xml:space="preserve">Pathologie - Toxicologie</w:t>
        </w:r>
      </w:hyperlink>
    </w:p>
    <w:p>
      <w:pPr>
        <w:numPr>
          <w:ilvl w:val="0"/>
          <w:numId w:val="1010"/>
        </w:numPr>
      </w:pPr>
      <w:hyperlink r:id="rId49">
        <w:r>
          <w:rPr>
            <w:rStyle w:val="Hyperlink"/>
            <w:color w:val="0856A0"/>
            <w:u w:val="single"/>
          </w:rPr>
          <w:t xml:space="preserve">Règlementation</w:t>
        </w:r>
      </w:hyperlink>
    </w:p>
    <w:p>
      <w:pPr>
        <w:numPr>
          <w:ilvl w:val="0"/>
          <w:numId w:val="1010"/>
        </w:numPr>
      </w:pPr>
      <w:hyperlink r:id="rId50">
        <w:r>
          <w:rPr>
            <w:rStyle w:val="Hyperlink"/>
            <w:color w:val="0856A0"/>
            <w:u w:val="single"/>
          </w:rPr>
          <w:t xml:space="preserve">Recommandations</w:t>
        </w:r>
      </w:hyperlink>
    </w:p>
    <w:p>
      <w:pPr>
        <w:numPr>
          <w:ilvl w:val="0"/>
          <w:numId w:val="1010"/>
        </w:numPr>
      </w:pPr>
      <w:hyperlink r:id="rId51">
        <w:r>
          <w:rPr>
            <w:rStyle w:val="Hyperlink"/>
            <w:color w:val="0856A0"/>
            <w:u w:val="single"/>
          </w:rPr>
          <w:t xml:space="preserve">Bibliographie</w:t>
        </w:r>
      </w:hyperlink>
    </w:p>
    <w:bookmarkEnd w:id="52"/>
    <w:bookmarkEnd w:id="53"/>
    <w:bookmarkStart w:id="64" w:name="aminoéthanol"/>
    <w:p>
      <w:pPr>
        <w:pStyle w:val="Heading3"/>
      </w:pPr>
      <w:r>
        <w:t xml:space="preserve">2-aminoéthanol</w:t>
      </w:r>
    </w:p>
    <w:p>
      <w:pPr>
        <w:pStyle w:val="FirstParagraph"/>
      </w:pPr>
      <w:r>
        <w:rPr>
          <w:b/>
          <w:bCs/>
        </w:rPr>
        <w:t xml:space="preserve">Identification</w:t>
      </w:r>
    </w:p>
    <w:p>
      <w:pPr>
        <w:pStyle w:val="Compact"/>
        <w:numPr>
          <w:ilvl w:val="0"/>
          <w:numId w:val="1011"/>
        </w:numPr>
      </w:pPr>
      <w:r>
        <w:t xml:space="preserve">N° CAS : 141-43-5</w:t>
      </w:r>
    </w:p>
    <w:p>
      <w:pPr>
        <w:pStyle w:val="Compact"/>
        <w:numPr>
          <w:ilvl w:val="0"/>
          <w:numId w:val="1011"/>
        </w:numPr>
      </w:pPr>
      <w:r>
        <w:t xml:space="preserve">N° EINECS : 205-483-3</w:t>
      </w:r>
    </w:p>
    <w:p>
      <w:pPr>
        <w:pStyle w:val="FirstParagraph"/>
      </w:pPr>
      <w:r>
        <w:rPr>
          <w:b/>
          <w:bCs/>
        </w:rPr>
        <w:t xml:space="preserve">Concentration</w:t>
      </w:r>
      <w:r>
        <w:t xml:space="preserve"> </w:t>
      </w:r>
      <w:r>
        <w:t xml:space="preserve">:from 1.0 to 5.0</w:t>
      </w:r>
    </w:p>
    <w:p>
      <w:pPr>
        <w:pStyle w:val="BodyText"/>
      </w:pPr>
      <w:r>
        <w:rPr>
          <w:b/>
          <w:bCs/>
        </w:rPr>
        <w:t xml:space="preserve">Dangers</w:t>
      </w:r>
      <w:r>
        <w:t xml:space="preserve"> </w:t>
      </w:r>
      <w:r>
        <w:t xml:space="preserve">:</w:t>
      </w:r>
    </w:p>
    <w:p>
      <w:pPr>
        <w:numPr>
          <w:ilvl w:val="0"/>
          <w:numId w:val="1012"/>
        </w:numPr>
      </w:pPr>
      <w:r>
        <w:t xml:space="preserve">H302</w:t>
      </w:r>
      <w:r>
        <w:t xml:space="preserve"> </w:t>
      </w:r>
      <w:r>
        <w:t xml:space="preserve">Nocif en cas d’ingestion.</w:t>
      </w:r>
    </w:p>
    <w:p>
      <w:pPr>
        <w:numPr>
          <w:ilvl w:val="0"/>
          <w:numId w:val="1012"/>
        </w:numPr>
      </w:pPr>
      <w:r>
        <w:t xml:space="preserve">H312</w:t>
      </w:r>
      <w:r>
        <w:t xml:space="preserve"> </w:t>
      </w:r>
      <w:r>
        <w:t xml:space="preserve">Nocif par contact cutané.</w:t>
      </w:r>
    </w:p>
    <w:p>
      <w:pPr>
        <w:numPr>
          <w:ilvl w:val="0"/>
          <w:numId w:val="1012"/>
        </w:numPr>
      </w:pPr>
      <w:r>
        <w:t xml:space="preserve">H314</w:t>
      </w:r>
      <w:r>
        <w:t xml:space="preserve"> </w:t>
      </w:r>
      <w:r>
        <w:t xml:space="preserve">Provoque des brûlures de la peau et des lésions oculaires graves.</w:t>
      </w:r>
    </w:p>
    <w:p>
      <w:pPr>
        <w:numPr>
          <w:ilvl w:val="0"/>
          <w:numId w:val="1012"/>
        </w:numPr>
      </w:pPr>
      <w:r>
        <w:t xml:space="preserve">H332</w:t>
      </w:r>
      <w:r>
        <w:t xml:space="preserve"> </w:t>
      </w:r>
      <w:r>
        <w:t xml:space="preserve">Nocif par inhalation.</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1.0 - VLE-8h (mg/m³) : 2.5 - VLE-15min (ppm) : 3.0 - VLE-15min (mg/m³) : 7.6</w:t>
            </w:r>
          </w:p>
        </w:tc>
      </w:tr>
    </w:tbl>
    <w:bookmarkStart w:id="63" w:name="propriétés-2"/>
    <w:p>
      <w:pPr>
        <w:pStyle w:val="Heading4"/>
      </w:pPr>
      <w:r>
        <w:t xml:space="preserve">Propriétés</w:t>
      </w:r>
    </w:p>
    <w:p>
      <w:pPr>
        <w:pStyle w:val="FirstParagraph"/>
      </w:pPr>
      <w:hyperlink r:id="rId54">
        <w:r>
          <w:rPr>
            <w:rStyle w:val="Hyperlink"/>
            <w:color w:val="0856A0"/>
            <w:u w:val="single"/>
          </w:rPr>
          <w:t xml:space="preserve">Fiche n°146 - 2-Aminoéthanol</w:t>
        </w:r>
      </w:hyperlink>
    </w:p>
    <w:p>
      <w:pPr>
        <w:numPr>
          <w:ilvl w:val="0"/>
          <w:numId w:val="1013"/>
        </w:numPr>
      </w:pPr>
      <w:hyperlink r:id="rId55">
        <w:r>
          <w:rPr>
            <w:rStyle w:val="Hyperlink"/>
            <w:color w:val="0856A0"/>
            <w:u w:val="single"/>
          </w:rPr>
          <w:t xml:space="preserve">Généralités</w:t>
        </w:r>
      </w:hyperlink>
    </w:p>
    <w:p>
      <w:pPr>
        <w:numPr>
          <w:ilvl w:val="0"/>
          <w:numId w:val="1013"/>
        </w:numPr>
      </w:pPr>
      <w:hyperlink r:id="rId56">
        <w:r>
          <w:rPr>
            <w:rStyle w:val="Hyperlink"/>
            <w:color w:val="0856A0"/>
            <w:u w:val="single"/>
          </w:rPr>
          <w:t xml:space="preserve">Caractéristiques</w:t>
        </w:r>
      </w:hyperlink>
    </w:p>
    <w:p>
      <w:pPr>
        <w:numPr>
          <w:ilvl w:val="0"/>
          <w:numId w:val="1013"/>
        </w:numPr>
      </w:pPr>
      <w:hyperlink r:id="rId57">
        <w:r>
          <w:rPr>
            <w:rStyle w:val="Hyperlink"/>
            <w:color w:val="0856A0"/>
            <w:u w:val="single"/>
          </w:rPr>
          <w:t xml:space="preserve">VLEPMesurage</w:t>
        </w:r>
      </w:hyperlink>
    </w:p>
    <w:p>
      <w:pPr>
        <w:numPr>
          <w:ilvl w:val="0"/>
          <w:numId w:val="1013"/>
        </w:numPr>
      </w:pPr>
      <w:hyperlink r:id="rId58">
        <w:r>
          <w:rPr>
            <w:rStyle w:val="Hyperlink"/>
            <w:color w:val="0856A0"/>
            <w:u w:val="single"/>
          </w:rPr>
          <w:t xml:space="preserve">Incendie - Explosion[5, 8, 11, 17-19]</w:t>
        </w:r>
      </w:hyperlink>
    </w:p>
    <w:p>
      <w:pPr>
        <w:numPr>
          <w:ilvl w:val="0"/>
          <w:numId w:val="1013"/>
        </w:numPr>
      </w:pPr>
      <w:hyperlink r:id="rId59">
        <w:r>
          <w:rPr>
            <w:rStyle w:val="Hyperlink"/>
            <w:color w:val="0856A0"/>
            <w:u w:val="single"/>
          </w:rPr>
          <w:t xml:space="preserve">Pathologie - Toxicologie</w:t>
        </w:r>
      </w:hyperlink>
    </w:p>
    <w:p>
      <w:pPr>
        <w:numPr>
          <w:ilvl w:val="0"/>
          <w:numId w:val="1013"/>
        </w:numPr>
      </w:pPr>
      <w:hyperlink r:id="rId60">
        <w:r>
          <w:rPr>
            <w:rStyle w:val="Hyperlink"/>
            <w:color w:val="0856A0"/>
            <w:u w:val="single"/>
          </w:rPr>
          <w:t xml:space="preserve">Règlementation</w:t>
        </w:r>
      </w:hyperlink>
    </w:p>
    <w:p>
      <w:pPr>
        <w:numPr>
          <w:ilvl w:val="0"/>
          <w:numId w:val="1013"/>
        </w:numPr>
      </w:pPr>
      <w:hyperlink r:id="rId61">
        <w:r>
          <w:rPr>
            <w:rStyle w:val="Hyperlink"/>
            <w:color w:val="0856A0"/>
            <w:u w:val="single"/>
          </w:rPr>
          <w:t xml:space="preserve">Recommandations</w:t>
        </w:r>
      </w:hyperlink>
    </w:p>
    <w:p>
      <w:pPr>
        <w:numPr>
          <w:ilvl w:val="0"/>
          <w:numId w:val="1013"/>
        </w:numPr>
      </w:pPr>
      <w:hyperlink r:id="rId62">
        <w:r>
          <w:rPr>
            <w:rStyle w:val="Hyperlink"/>
            <w:color w:val="0856A0"/>
            <w:u w:val="single"/>
          </w:rPr>
          <w:t xml:space="preserve">Bibliographie</w:t>
        </w:r>
      </w:hyperlink>
    </w:p>
    <w:bookmarkEnd w:id="63"/>
    <w:bookmarkEnd w:id="64"/>
    <w:bookmarkStart w:id="75" w:name="méthoxyméthylethoxypropanol"/>
    <w:p>
      <w:pPr>
        <w:pStyle w:val="Heading3"/>
      </w:pPr>
      <w:r>
        <w:t xml:space="preserve">2-méthoxyméthylethoxy)propanol</w:t>
      </w:r>
    </w:p>
    <w:p>
      <w:pPr>
        <w:pStyle w:val="FirstParagraph"/>
      </w:pPr>
      <w:r>
        <w:rPr>
          <w:b/>
          <w:bCs/>
        </w:rPr>
        <w:t xml:space="preserve">Identification</w:t>
      </w:r>
    </w:p>
    <w:p>
      <w:pPr>
        <w:pStyle w:val="Compact"/>
        <w:numPr>
          <w:ilvl w:val="0"/>
          <w:numId w:val="1014"/>
        </w:numPr>
      </w:pPr>
      <w:r>
        <w:t xml:space="preserve">N° CAS : 34590-94-8</w:t>
      </w:r>
    </w:p>
    <w:p>
      <w:pPr>
        <w:pStyle w:val="Compact"/>
        <w:numPr>
          <w:ilvl w:val="0"/>
          <w:numId w:val="1014"/>
        </w:numPr>
      </w:pPr>
      <w:r>
        <w:t xml:space="preserve">N° EINECS : None</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pStyle w:val="BodyText"/>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50.0 - VLE-8h (mg/m³) : None</w:t>
            </w:r>
          </w:p>
        </w:tc>
      </w:tr>
    </w:tbl>
    <w:bookmarkStart w:id="74" w:name="propriétés-3"/>
    <w:p>
      <w:pPr>
        <w:pStyle w:val="Heading4"/>
      </w:pPr>
      <w:r>
        <w:t xml:space="preserve">Propriétés</w:t>
      </w:r>
    </w:p>
    <w:p>
      <w:pPr>
        <w:pStyle w:val="FirstParagraph"/>
      </w:pPr>
      <w:hyperlink r:id="rId65">
        <w:r>
          <w:rPr>
            <w:rStyle w:val="Hyperlink"/>
            <w:color w:val="0856A0"/>
            <w:u w:val="single"/>
          </w:rPr>
          <w:t xml:space="preserve">Fiche n°330 - (2-Méthoxyméthyléthoxy)propanol</w:t>
        </w:r>
      </w:hyperlink>
    </w:p>
    <w:p>
      <w:pPr>
        <w:numPr>
          <w:ilvl w:val="0"/>
          <w:numId w:val="1015"/>
        </w:numPr>
      </w:pPr>
      <w:hyperlink r:id="rId66">
        <w:r>
          <w:rPr>
            <w:rStyle w:val="Hyperlink"/>
            <w:color w:val="0856A0"/>
            <w:u w:val="single"/>
          </w:rPr>
          <w:t xml:space="preserve">Généralités</w:t>
        </w:r>
      </w:hyperlink>
    </w:p>
    <w:p>
      <w:pPr>
        <w:numPr>
          <w:ilvl w:val="0"/>
          <w:numId w:val="1015"/>
        </w:numPr>
      </w:pPr>
      <w:hyperlink r:id="rId67">
        <w:r>
          <w:rPr>
            <w:rStyle w:val="Hyperlink"/>
            <w:color w:val="0856A0"/>
            <w:u w:val="single"/>
          </w:rPr>
          <w:t xml:space="preserve">Caractéristiques</w:t>
        </w:r>
      </w:hyperlink>
    </w:p>
    <w:p>
      <w:pPr>
        <w:numPr>
          <w:ilvl w:val="0"/>
          <w:numId w:val="1015"/>
        </w:numPr>
      </w:pPr>
      <w:hyperlink r:id="rId68">
        <w:r>
          <w:rPr>
            <w:rStyle w:val="Hyperlink"/>
            <w:color w:val="0856A0"/>
            <w:u w:val="single"/>
          </w:rPr>
          <w:t xml:space="preserve">VLEPMesurage</w:t>
        </w:r>
      </w:hyperlink>
    </w:p>
    <w:p>
      <w:pPr>
        <w:numPr>
          <w:ilvl w:val="0"/>
          <w:numId w:val="1015"/>
        </w:numPr>
      </w:pPr>
      <w:hyperlink r:id="rId69">
        <w:r>
          <w:rPr>
            <w:rStyle w:val="Hyperlink"/>
            <w:color w:val="0856A0"/>
            <w:u w:val="single"/>
          </w:rPr>
          <w:t xml:space="preserve">Incendie - Explosion[3, 10-12]</w:t>
        </w:r>
      </w:hyperlink>
    </w:p>
    <w:p>
      <w:pPr>
        <w:numPr>
          <w:ilvl w:val="0"/>
          <w:numId w:val="1015"/>
        </w:numPr>
      </w:pPr>
      <w:hyperlink r:id="rId70">
        <w:r>
          <w:rPr>
            <w:rStyle w:val="Hyperlink"/>
            <w:color w:val="0856A0"/>
            <w:u w:val="single"/>
          </w:rPr>
          <w:t xml:space="preserve">Pathologie - Toxicologie</w:t>
        </w:r>
      </w:hyperlink>
    </w:p>
    <w:p>
      <w:pPr>
        <w:numPr>
          <w:ilvl w:val="0"/>
          <w:numId w:val="1015"/>
        </w:numPr>
      </w:pPr>
      <w:hyperlink r:id="rId71">
        <w:r>
          <w:rPr>
            <w:rStyle w:val="Hyperlink"/>
            <w:color w:val="0856A0"/>
            <w:u w:val="single"/>
          </w:rPr>
          <w:t xml:space="preserve">Règlementation</w:t>
        </w:r>
      </w:hyperlink>
    </w:p>
    <w:p>
      <w:pPr>
        <w:numPr>
          <w:ilvl w:val="0"/>
          <w:numId w:val="1015"/>
        </w:numPr>
      </w:pPr>
      <w:hyperlink r:id="rId72">
        <w:r>
          <w:rPr>
            <w:rStyle w:val="Hyperlink"/>
            <w:color w:val="0856A0"/>
            <w:u w:val="single"/>
          </w:rPr>
          <w:t xml:space="preserve">Recommandations</w:t>
        </w:r>
      </w:hyperlink>
    </w:p>
    <w:p>
      <w:pPr>
        <w:numPr>
          <w:ilvl w:val="0"/>
          <w:numId w:val="1015"/>
        </w:numPr>
      </w:pPr>
      <w:hyperlink r:id="rId73">
        <w:r>
          <w:rPr>
            <w:rStyle w:val="Hyperlink"/>
            <w:color w:val="0856A0"/>
            <w:u w:val="single"/>
          </w:rPr>
          <w:t xml:space="preserve">Bibliographie</w:t>
        </w:r>
      </w:hyperlink>
    </w:p>
    <w:bookmarkEnd w:id="74"/>
    <w:bookmarkEnd w:id="75"/>
    <w:bookmarkStart w:id="77" w:name="méthanol"/>
    <w:p>
      <w:pPr>
        <w:pStyle w:val="Heading3"/>
      </w:pPr>
      <w:r>
        <w:t xml:space="preserve">méthanol</w:t>
      </w:r>
    </w:p>
    <w:p>
      <w:pPr>
        <w:pStyle w:val="FirstParagraph"/>
      </w:pPr>
      <w:r>
        <w:rPr>
          <w:b/>
          <w:bCs/>
        </w:rPr>
        <w:t xml:space="preserve">Identification</w:t>
      </w:r>
    </w:p>
    <w:p>
      <w:pPr>
        <w:pStyle w:val="Compact"/>
        <w:numPr>
          <w:ilvl w:val="0"/>
          <w:numId w:val="1016"/>
        </w:numPr>
      </w:pPr>
      <w:r>
        <w:t xml:space="preserve">N° CAS : 67-66-1</w:t>
      </w:r>
    </w:p>
    <w:p>
      <w:pPr>
        <w:pStyle w:val="Compact"/>
        <w:numPr>
          <w:ilvl w:val="0"/>
          <w:numId w:val="1016"/>
        </w:numPr>
      </w:pPr>
      <w:r>
        <w:t xml:space="preserve">N° EINECS : None</w:t>
      </w:r>
    </w:p>
    <w:p>
      <w:pPr>
        <w:pStyle w:val="FirstParagraph"/>
      </w:pPr>
      <w:r>
        <w:rPr>
          <w:b/>
          <w:bCs/>
        </w:rPr>
        <w:t xml:space="preserve">Concentration</w:t>
      </w:r>
      <w:r>
        <w:t xml:space="preserve"> </w:t>
      </w:r>
      <w:r>
        <w:t xml:space="preserve">:from 0.0 to 0.0</w:t>
      </w:r>
    </w:p>
    <w:p>
      <w:pPr>
        <w:pStyle w:val="BodyText"/>
      </w:pPr>
      <w:r>
        <w:rPr>
          <w:b/>
          <w:bCs/>
        </w:rPr>
        <w:t xml:space="preserve">Dangers</w:t>
      </w:r>
      <w:r>
        <w:t xml:space="preserve"> </w:t>
      </w:r>
      <w:r>
        <w:t xml:space="preserve">:</w:t>
      </w:r>
    </w:p>
    <w:p>
      <w:pPr>
        <w:pStyle w:val="BodyText"/>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76" w:name="propriétés-4"/>
    <w:p>
      <w:pPr>
        <w:pStyle w:val="Heading4"/>
      </w:pPr>
      <w:r>
        <w:t xml:space="preserve">Propriétés</w:t>
      </w:r>
    </w:p>
    <w:p>
      <w:pPr>
        <w:pStyle w:val="FirstParagraph"/>
      </w:pPr>
      <w:r>
        <w:t xml:space="preserve">Pas d’informations disponible.</w:t>
      </w:r>
    </w:p>
    <w:bookmarkEnd w:id="76"/>
    <w:bookmarkEnd w:id="77"/>
    <w:bookmarkEnd w:id="78"/>
    <w:bookmarkStart w:id="79"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Le matériau des gants doit être impermeable et résistant au produit / à la substance / à la préparation.</w:t>
            </w:r>
            <w:r>
              <w:rPr>
                <w:sz w:val="20"/>
                <w:szCs w:val="20"/>
              </w:rPr>
              <w:t xml:space="preserve"> </w:t>
            </w:r>
            <w:r>
              <w:rPr>
                <w:sz w:val="20"/>
                <w:szCs w:val="20"/>
              </w:rPr>
              <w:t xml:space="preserve">• À cause du manque de tests, aucune recommandation de matériau de gants ne peut être donnée.</w:t>
            </w:r>
            <w:r>
              <w:rPr>
                <w:sz w:val="20"/>
                <w:szCs w:val="20"/>
              </w:rPr>
              <w:t xml:space="preserve"> </w:t>
            </w:r>
            <w:r>
              <w:rPr>
                <w:sz w:val="20"/>
                <w:szCs w:val="20"/>
              </w:rPr>
              <w:t xml:space="preserve">• Le choix du matériau doit se faire en fonction des :</w:t>
            </w:r>
            <w:r>
              <w:rPr>
                <w:sz w:val="20"/>
                <w:szCs w:val="20"/>
              </w:rPr>
              <w:t xml:space="preserve"> </w:t>
            </w:r>
            <w:r>
              <w:rPr>
                <w:sz w:val="20"/>
                <w:szCs w:val="20"/>
              </w:rPr>
              <w:t xml:space="preserve"> – temps de pénétration,</w:t>
            </w:r>
            <w:r>
              <w:rPr>
                <w:sz w:val="20"/>
                <w:szCs w:val="20"/>
              </w:rPr>
              <w:t xml:space="preserve"> </w:t>
            </w:r>
            <w:r>
              <w:rPr>
                <w:sz w:val="20"/>
                <w:szCs w:val="20"/>
              </w:rPr>
              <w:t xml:space="preserve"> – taux de perméabilité,</w:t>
            </w:r>
            <w:r>
              <w:rPr>
                <w:sz w:val="20"/>
                <w:szCs w:val="20"/>
              </w:rPr>
              <w:t xml:space="preserve"> </w:t>
            </w:r>
            <w:r>
              <w:rPr>
                <w:sz w:val="20"/>
                <w:szCs w:val="20"/>
              </w:rPr>
              <w:t xml:space="preserve"> – dégradation.</w:t>
            </w:r>
            <w:r>
              <w:rPr>
                <w:sz w:val="20"/>
                <w:szCs w:val="20"/>
              </w:rPr>
              <w:t xml:space="preserve"> </w:t>
            </w:r>
            <w:r>
              <w:rPr>
                <w:sz w:val="20"/>
                <w:szCs w:val="20"/>
              </w:rPr>
              <w:t xml:space="preserve">• Le temps de pénétration exact doit être déterminé par le fabricant des gants de protection et respecté. Aucun détail sur l’épaisseur, la classe de résistance ou le type de gants (latex, nitrile, neoprene, etc.) n’est fourni.</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de protection hermétiques. Aucun détail supplémentaire (type de verre, protection contre les éclaboussures, etc.) n’est donné.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En cas d’exposition faible ou de courte durée : utiliser un filtre respiratoire.</w:t>
            </w:r>
            <w:r>
              <w:rPr>
                <w:sz w:val="20"/>
                <w:szCs w:val="20"/>
              </w:rPr>
              <w:t xml:space="preserve"> </w:t>
            </w:r>
            <w:r>
              <w:rPr>
                <w:sz w:val="20"/>
                <w:szCs w:val="20"/>
              </w:rPr>
              <w:t xml:space="preserve">• En cas d’exposition intense ou durable : utiliser un appareil de respiration indépendant de l’air ambiant. Aucun type de filtre (P100, P95, etc.) ou de masque spécifique n’est mentionné dans le document.</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 Vêtement de protection résistant aux solvants. Aucun détail sur la combinaison (type, matériau, épaisseur, etc.) n’est fourni.</w:t>
            </w:r>
          </w:p>
        </w:tc>
      </w:tr>
    </w:tbl>
    <w:bookmarkEnd w:id="79"/>
    <w:bookmarkStart w:id="80"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Veiller à une bonne ventilation/aspersion du poste de travail. - Éviter la formation d’aérosols. - N’employer que dans des secteurs bien aérés.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 prévoir des sols étanches et résistants aux solvants. Incompatibilités : aucune incompatibilité mentionnée.</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 prévue : Utilisations industrielles (SU3) et professionnelles (SU22)</w:t>
            </w:r>
          </w:p>
        </w:tc>
      </w:tr>
    </w:tbl>
    <w:bookmarkEnd w:id="80"/>
    <w:bookmarkEnd w:id="81"/>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 Id="rId54" Type="http://schemas.openxmlformats.org/officeDocument/2006/relationships/hyperlink" Target="https://www.inrs.fr/publications/bdd/fichetox/fiche.html?refINRS=FICHETOX_146" TargetMode="External"/><Relationship Id="rId57" Type="http://schemas.openxmlformats.org/officeDocument/2006/relationships/hyperlink" Target="https://www.inrs.fr/publications/bdd/fichetox/fiche.html?refINRS=FICHETOX_146&amp;section=VLEPMesurage" TargetMode="External"/><Relationship Id="rId62" Type="http://schemas.openxmlformats.org/officeDocument/2006/relationships/hyperlink" Target="https://www.inrs.fr/publications/bdd/fichetox/fiche.html?refINRS=FICHETOX_146&amp;section=bibliographieAuteurs" TargetMode="External"/><Relationship Id="rId56" Type="http://schemas.openxmlformats.org/officeDocument/2006/relationships/hyperlink" Target="https://www.inrs.fr/publications/bdd/fichetox/fiche.html?refINRS=FICHETOX_146&amp;section=caracteristiques" TargetMode="External"/><Relationship Id="rId55" Type="http://schemas.openxmlformats.org/officeDocument/2006/relationships/hyperlink" Target="https://www.inrs.fr/publications/bdd/fichetox/fiche.html?refINRS=FICHETOX_146&amp;section=generalites" TargetMode="External"/><Relationship Id="rId58" Type="http://schemas.openxmlformats.org/officeDocument/2006/relationships/hyperlink" Target="https://www.inrs.fr/publications/bdd/fichetox/fiche.html?refINRS=FICHETOX_146&amp;section=incendieExplosion" TargetMode="External"/><Relationship Id="rId59" Type="http://schemas.openxmlformats.org/officeDocument/2006/relationships/hyperlink" Target="https://www.inrs.fr/publications/bdd/fichetox/fiche.html?refINRS=FICHETOX_146&amp;section=pathologieToxicologie" TargetMode="External"/><Relationship Id="rId61" Type="http://schemas.openxmlformats.org/officeDocument/2006/relationships/hyperlink" Target="https://www.inrs.fr/publications/bdd/fichetox/fiche.html?refINRS=FICHETOX_146&amp;section=recommandations" TargetMode="External"/><Relationship Id="rId60" Type="http://schemas.openxmlformats.org/officeDocument/2006/relationships/hyperlink" Target="https://www.inrs.fr/publications/bdd/fichetox/fiche.html?refINRS=FICHETOX_146&amp;section=reglementation" TargetMode="External"/><Relationship Id="rId43" Type="http://schemas.openxmlformats.org/officeDocument/2006/relationships/hyperlink" Target="https://www.inrs.fr/publications/bdd/fichetox/fiche.html?refINRS=FICHETOX_252" TargetMode="External"/><Relationship Id="rId46" Type="http://schemas.openxmlformats.org/officeDocument/2006/relationships/hyperlink" Target="https://www.inrs.fr/publications/bdd/fichetox/fiche.html?refINRS=FICHETOX_252&amp;section=VLEPMesurage" TargetMode="External"/><Relationship Id="rId51" Type="http://schemas.openxmlformats.org/officeDocument/2006/relationships/hyperlink" Target="https://www.inrs.fr/publications/bdd/fichetox/fiche.html?refINRS=FICHETOX_252&amp;section=bibliographieAuteurs" TargetMode="External"/><Relationship Id="rId45" Type="http://schemas.openxmlformats.org/officeDocument/2006/relationships/hyperlink" Target="https://www.inrs.fr/publications/bdd/fichetox/fiche.html?refINRS=FICHETOX_252&amp;section=caracteristiques" TargetMode="External"/><Relationship Id="rId44" Type="http://schemas.openxmlformats.org/officeDocument/2006/relationships/hyperlink" Target="https://www.inrs.fr/publications/bdd/fichetox/fiche.html?refINRS=FICHETOX_252&amp;section=generalites" TargetMode="External"/><Relationship Id="rId47" Type="http://schemas.openxmlformats.org/officeDocument/2006/relationships/hyperlink" Target="https://www.inrs.fr/publications/bdd/fichetox/fiche.html?refINRS=FICHETOX_252&amp;section=incendieExplosion" TargetMode="External"/><Relationship Id="rId48" Type="http://schemas.openxmlformats.org/officeDocument/2006/relationships/hyperlink" Target="https://www.inrs.fr/publications/bdd/fichetox/fiche.html?refINRS=FICHETOX_252&amp;section=pathologieToxicologie" TargetMode="External"/><Relationship Id="rId50" Type="http://schemas.openxmlformats.org/officeDocument/2006/relationships/hyperlink" Target="https://www.inrs.fr/publications/bdd/fichetox/fiche.html?refINRS=FICHETOX_252&amp;section=recommandations" TargetMode="External"/><Relationship Id="rId49" Type="http://schemas.openxmlformats.org/officeDocument/2006/relationships/hyperlink" Target="https://www.inrs.fr/publications/bdd/fichetox/fiche.html?refINRS=FICHETOX_252&amp;section=reglementation" TargetMode="External"/><Relationship Id="rId32" Type="http://schemas.openxmlformats.org/officeDocument/2006/relationships/hyperlink" Target="https://www.inrs.fr/publications/bdd/fichetox/fiche.html?refINRS=FICHETOX_270" TargetMode="External"/><Relationship Id="rId35" Type="http://schemas.openxmlformats.org/officeDocument/2006/relationships/hyperlink" Target="https://www.inrs.fr/publications/bdd/fichetox/fiche.html?refINRS=FICHETOX_270&amp;section=VLEPMesurage" TargetMode="External"/><Relationship Id="rId40" Type="http://schemas.openxmlformats.org/officeDocument/2006/relationships/hyperlink" Target="https://www.inrs.fr/publications/bdd/fichetox/fiche.html?refINRS=FICHETOX_270&amp;section=bibliographieAuteurs" TargetMode="External"/><Relationship Id="rId34" Type="http://schemas.openxmlformats.org/officeDocument/2006/relationships/hyperlink" Target="https://www.inrs.fr/publications/bdd/fichetox/fiche.html?refINRS=FICHETOX_270&amp;section=caracteristiques" TargetMode="External"/><Relationship Id="rId33" Type="http://schemas.openxmlformats.org/officeDocument/2006/relationships/hyperlink" Target="https://www.inrs.fr/publications/bdd/fichetox/fiche.html?refINRS=FICHETOX_270&amp;section=generalites" TargetMode="External"/><Relationship Id="rId36" Type="http://schemas.openxmlformats.org/officeDocument/2006/relationships/hyperlink" Target="https://www.inrs.fr/publications/bdd/fichetox/fiche.html?refINRS=FICHETOX_270&amp;section=incendieExplosion" TargetMode="External"/><Relationship Id="rId37" Type="http://schemas.openxmlformats.org/officeDocument/2006/relationships/hyperlink" Target="https://www.inrs.fr/publications/bdd/fichetox/fiche.html?refINRS=FICHETOX_270&amp;section=pathologieToxicologie" TargetMode="External"/><Relationship Id="rId39" Type="http://schemas.openxmlformats.org/officeDocument/2006/relationships/hyperlink" Target="https://www.inrs.fr/publications/bdd/fichetox/fiche.html?refINRS=FICHETOX_270&amp;section=recommandations" TargetMode="External"/><Relationship Id="rId38" Type="http://schemas.openxmlformats.org/officeDocument/2006/relationships/hyperlink" Target="https://www.inrs.fr/publications/bdd/fichetox/fiche.html?refINRS=FICHETOX_270&amp;section=reglementation" TargetMode="External"/><Relationship Id="rId65" Type="http://schemas.openxmlformats.org/officeDocument/2006/relationships/hyperlink" Target="https://www.inrs.fr/publications/bdd/fichetox/fiche.html?refINRS=FICHETOX_330" TargetMode="External"/><Relationship Id="rId68" Type="http://schemas.openxmlformats.org/officeDocument/2006/relationships/hyperlink" Target="https://www.inrs.fr/publications/bdd/fichetox/fiche.html?refINRS=FICHETOX_330&amp;section=VLEPMesurage" TargetMode="External"/><Relationship Id="rId73" Type="http://schemas.openxmlformats.org/officeDocument/2006/relationships/hyperlink" Target="https://www.inrs.fr/publications/bdd/fichetox/fiche.html?refINRS=FICHETOX_330&amp;section=bibliographieAuteurs" TargetMode="External"/><Relationship Id="rId67" Type="http://schemas.openxmlformats.org/officeDocument/2006/relationships/hyperlink" Target="https://www.inrs.fr/publications/bdd/fichetox/fiche.html?refINRS=FICHETOX_330&amp;section=caracteristiques" TargetMode="External"/><Relationship Id="rId66" Type="http://schemas.openxmlformats.org/officeDocument/2006/relationships/hyperlink" Target="https://www.inrs.fr/publications/bdd/fichetox/fiche.html?refINRS=FICHETOX_330&amp;section=generalites" TargetMode="External"/><Relationship Id="rId69" Type="http://schemas.openxmlformats.org/officeDocument/2006/relationships/hyperlink" Target="https://www.inrs.fr/publications/bdd/fichetox/fiche.html?refINRS=FICHETOX_330&amp;section=incendieExplosion" TargetMode="External"/><Relationship Id="rId70" Type="http://schemas.openxmlformats.org/officeDocument/2006/relationships/hyperlink" Target="https://www.inrs.fr/publications/bdd/fichetox/fiche.html?refINRS=FICHETOX_330&amp;section=pathologieToxicologie" TargetMode="External"/><Relationship Id="rId72" Type="http://schemas.openxmlformats.org/officeDocument/2006/relationships/hyperlink" Target="https://www.inrs.fr/publications/bdd/fichetox/fiche.html?refINRS=FICHETOX_330&amp;section=recommandations" TargetMode="External"/><Relationship Id="rId71" Type="http://schemas.openxmlformats.org/officeDocument/2006/relationships/hyperlink" Target="https://www.inrs.fr/publications/bdd/fichetox/fiche.html?refINRS=FICHETOX_330&amp;section=reglementation" TargetMode="External"/></Relationships>
</file>

<file path=word/_rels/footnotes.xml.rels><?xml version='1.0' encoding='UTF-8' standalone='yes'?>
<Relationships xmlns="http://schemas.openxmlformats.org/package/2006/relationships"><Relationship Id="rId54" Type="http://schemas.openxmlformats.org/officeDocument/2006/relationships/hyperlink" Target="https://www.inrs.fr/publications/bdd/fichetox/fiche.html?refINRS=FICHETOX_146" TargetMode="External"/><Relationship Id="rId57" Type="http://schemas.openxmlformats.org/officeDocument/2006/relationships/hyperlink" Target="https://www.inrs.fr/publications/bdd/fichetox/fiche.html?refINRS=FICHETOX_146&amp;section=VLEPMesurage" TargetMode="External"/><Relationship Id="rId62" Type="http://schemas.openxmlformats.org/officeDocument/2006/relationships/hyperlink" Target="https://www.inrs.fr/publications/bdd/fichetox/fiche.html?refINRS=FICHETOX_146&amp;section=bibliographieAuteurs" TargetMode="External"/><Relationship Id="rId56" Type="http://schemas.openxmlformats.org/officeDocument/2006/relationships/hyperlink" Target="https://www.inrs.fr/publications/bdd/fichetox/fiche.html?refINRS=FICHETOX_146&amp;section=caracteristiques" TargetMode="External"/><Relationship Id="rId55" Type="http://schemas.openxmlformats.org/officeDocument/2006/relationships/hyperlink" Target="https://www.inrs.fr/publications/bdd/fichetox/fiche.html?refINRS=FICHETOX_146&amp;section=generalites" TargetMode="External"/><Relationship Id="rId58" Type="http://schemas.openxmlformats.org/officeDocument/2006/relationships/hyperlink" Target="https://www.inrs.fr/publications/bdd/fichetox/fiche.html?refINRS=FICHETOX_146&amp;section=incendieExplosion" TargetMode="External"/><Relationship Id="rId59" Type="http://schemas.openxmlformats.org/officeDocument/2006/relationships/hyperlink" Target="https://www.inrs.fr/publications/bdd/fichetox/fiche.html?refINRS=FICHETOX_146&amp;section=pathologieToxicologie" TargetMode="External"/><Relationship Id="rId61" Type="http://schemas.openxmlformats.org/officeDocument/2006/relationships/hyperlink" Target="https://www.inrs.fr/publications/bdd/fichetox/fiche.html?refINRS=FICHETOX_146&amp;section=recommandations" TargetMode="External"/><Relationship Id="rId60" Type="http://schemas.openxmlformats.org/officeDocument/2006/relationships/hyperlink" Target="https://www.inrs.fr/publications/bdd/fichetox/fiche.html?refINRS=FICHETOX_146&amp;section=reglementation" TargetMode="External"/><Relationship Id="rId43" Type="http://schemas.openxmlformats.org/officeDocument/2006/relationships/hyperlink" Target="https://www.inrs.fr/publications/bdd/fichetox/fiche.html?refINRS=FICHETOX_252" TargetMode="External"/><Relationship Id="rId46" Type="http://schemas.openxmlformats.org/officeDocument/2006/relationships/hyperlink" Target="https://www.inrs.fr/publications/bdd/fichetox/fiche.html?refINRS=FICHETOX_252&amp;section=VLEPMesurage" TargetMode="External"/><Relationship Id="rId51" Type="http://schemas.openxmlformats.org/officeDocument/2006/relationships/hyperlink" Target="https://www.inrs.fr/publications/bdd/fichetox/fiche.html?refINRS=FICHETOX_252&amp;section=bibliographieAuteurs" TargetMode="External"/><Relationship Id="rId45" Type="http://schemas.openxmlformats.org/officeDocument/2006/relationships/hyperlink" Target="https://www.inrs.fr/publications/bdd/fichetox/fiche.html?refINRS=FICHETOX_252&amp;section=caracteristiques" TargetMode="External"/><Relationship Id="rId44" Type="http://schemas.openxmlformats.org/officeDocument/2006/relationships/hyperlink" Target="https://www.inrs.fr/publications/bdd/fichetox/fiche.html?refINRS=FICHETOX_252&amp;section=generalites" TargetMode="External"/><Relationship Id="rId47" Type="http://schemas.openxmlformats.org/officeDocument/2006/relationships/hyperlink" Target="https://www.inrs.fr/publications/bdd/fichetox/fiche.html?refINRS=FICHETOX_252&amp;section=incendieExplosion" TargetMode="External"/><Relationship Id="rId48" Type="http://schemas.openxmlformats.org/officeDocument/2006/relationships/hyperlink" Target="https://www.inrs.fr/publications/bdd/fichetox/fiche.html?refINRS=FICHETOX_252&amp;section=pathologieToxicologie" TargetMode="External"/><Relationship Id="rId50" Type="http://schemas.openxmlformats.org/officeDocument/2006/relationships/hyperlink" Target="https://www.inrs.fr/publications/bdd/fichetox/fiche.html?refINRS=FICHETOX_252&amp;section=recommandations" TargetMode="External"/><Relationship Id="rId49" Type="http://schemas.openxmlformats.org/officeDocument/2006/relationships/hyperlink" Target="https://www.inrs.fr/publications/bdd/fichetox/fiche.html?refINRS=FICHETOX_252&amp;section=reglementation" TargetMode="External"/><Relationship Id="rId32" Type="http://schemas.openxmlformats.org/officeDocument/2006/relationships/hyperlink" Target="https://www.inrs.fr/publications/bdd/fichetox/fiche.html?refINRS=FICHETOX_270" TargetMode="External"/><Relationship Id="rId35" Type="http://schemas.openxmlformats.org/officeDocument/2006/relationships/hyperlink" Target="https://www.inrs.fr/publications/bdd/fichetox/fiche.html?refINRS=FICHETOX_270&amp;section=VLEPMesurage" TargetMode="External"/><Relationship Id="rId40" Type="http://schemas.openxmlformats.org/officeDocument/2006/relationships/hyperlink" Target="https://www.inrs.fr/publications/bdd/fichetox/fiche.html?refINRS=FICHETOX_270&amp;section=bibliographieAuteurs" TargetMode="External"/><Relationship Id="rId34" Type="http://schemas.openxmlformats.org/officeDocument/2006/relationships/hyperlink" Target="https://www.inrs.fr/publications/bdd/fichetox/fiche.html?refINRS=FICHETOX_270&amp;section=caracteristiques" TargetMode="External"/><Relationship Id="rId33" Type="http://schemas.openxmlformats.org/officeDocument/2006/relationships/hyperlink" Target="https://www.inrs.fr/publications/bdd/fichetox/fiche.html?refINRS=FICHETOX_270&amp;section=generalites" TargetMode="External"/><Relationship Id="rId36" Type="http://schemas.openxmlformats.org/officeDocument/2006/relationships/hyperlink" Target="https://www.inrs.fr/publications/bdd/fichetox/fiche.html?refINRS=FICHETOX_270&amp;section=incendieExplosion" TargetMode="External"/><Relationship Id="rId37" Type="http://schemas.openxmlformats.org/officeDocument/2006/relationships/hyperlink" Target="https://www.inrs.fr/publications/bdd/fichetox/fiche.html?refINRS=FICHETOX_270&amp;section=pathologieToxicologie" TargetMode="External"/><Relationship Id="rId39" Type="http://schemas.openxmlformats.org/officeDocument/2006/relationships/hyperlink" Target="https://www.inrs.fr/publications/bdd/fichetox/fiche.html?refINRS=FICHETOX_270&amp;section=recommandations" TargetMode="External"/><Relationship Id="rId38" Type="http://schemas.openxmlformats.org/officeDocument/2006/relationships/hyperlink" Target="https://www.inrs.fr/publications/bdd/fichetox/fiche.html?refINRS=FICHETOX_270&amp;section=reglementation" TargetMode="External"/><Relationship Id="rId65" Type="http://schemas.openxmlformats.org/officeDocument/2006/relationships/hyperlink" Target="https://www.inrs.fr/publications/bdd/fichetox/fiche.html?refINRS=FICHETOX_330" TargetMode="External"/><Relationship Id="rId68" Type="http://schemas.openxmlformats.org/officeDocument/2006/relationships/hyperlink" Target="https://www.inrs.fr/publications/bdd/fichetox/fiche.html?refINRS=FICHETOX_330&amp;section=VLEPMesurage" TargetMode="External"/><Relationship Id="rId73" Type="http://schemas.openxmlformats.org/officeDocument/2006/relationships/hyperlink" Target="https://www.inrs.fr/publications/bdd/fichetox/fiche.html?refINRS=FICHETOX_330&amp;section=bibliographieAuteurs" TargetMode="External"/><Relationship Id="rId67" Type="http://schemas.openxmlformats.org/officeDocument/2006/relationships/hyperlink" Target="https://www.inrs.fr/publications/bdd/fichetox/fiche.html?refINRS=FICHETOX_330&amp;section=caracteristiques" TargetMode="External"/><Relationship Id="rId66" Type="http://schemas.openxmlformats.org/officeDocument/2006/relationships/hyperlink" Target="https://www.inrs.fr/publications/bdd/fichetox/fiche.html?refINRS=FICHETOX_330&amp;section=generalites" TargetMode="External"/><Relationship Id="rId69" Type="http://schemas.openxmlformats.org/officeDocument/2006/relationships/hyperlink" Target="https://www.inrs.fr/publications/bdd/fichetox/fiche.html?refINRS=FICHETOX_330&amp;section=incendieExplosion" TargetMode="External"/><Relationship Id="rId70" Type="http://schemas.openxmlformats.org/officeDocument/2006/relationships/hyperlink" Target="https://www.inrs.fr/publications/bdd/fichetox/fiche.html?refINRS=FICHETOX_330&amp;section=pathologieToxicologie" TargetMode="External"/><Relationship Id="rId72" Type="http://schemas.openxmlformats.org/officeDocument/2006/relationships/hyperlink" Target="https://www.inrs.fr/publications/bdd/fichetox/fiche.html?refINRS=FICHETOX_330&amp;section=recommandations" TargetMode="External"/><Relationship Id="rId71" Type="http://schemas.openxmlformats.org/officeDocument/2006/relationships/hyperlink" Target="https://www.inrs.fr/publications/bdd/fichetox/fiche.html?refINRS=FICHETOX_330&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2026-04-30T11:00:03Z</dcterms:created>
  <dcterms:modified xsi:type="dcterms:W3CDTF">2026-04-30T11:00:03Z</dcterms:modified>
</cp:coreProperties>
</file>

<file path=docProps/custom.xml><?xml version="1.0" encoding="utf-8"?>
<Properties xmlns="http://schemas.openxmlformats.org/officeDocument/2006/custom-properties" xmlns:vt="http://schemas.openxmlformats.org/officeDocument/2006/docPropsVTypes"/>
</file>