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acidesulfurique51</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BRENNTAG N.V.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2026-04-30</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acidesulfurique51</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6" w:name="analyse-des-dangers-acidesulfurique51"/>
    <w:p>
      <w:pPr>
        <w:pStyle w:val="Heading1"/>
      </w:pPr>
      <w:r>
        <w:t xml:space="preserve">Analyse des dangers : acidesulfurique51</w:t>
      </w:r>
    </w:p>
    <w:p>
      <w:pPr>
        <w:pStyle w:val="FirstParagraph"/>
      </w:pPr>
      <w:r>
        <w:t xml:space="preserve">Dans la suite, nous détaillons les dangers associés au produit</w:t>
      </w:r>
      <w:r>
        <w:t xml:space="preserve"> </w:t>
      </w:r>
      <w:r>
        <w:rPr>
          <w:b/>
          <w:bCs/>
        </w:rPr>
        <w:t xml:space="preserve">acidesulfurique51</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BRENNTAG N.V.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Information not available in document.</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2011-11-22</w:t>
            </w:r>
          </w:p>
        </w:tc>
      </w:tr>
    </w:tbl>
    <w:p>
      <w:pPr>
        <w:pStyle w:val="BodyText"/>
      </w:pPr>
      <w:r>
        <w:t xml:space="preserve"> </w:t>
      </w:r>
      <w:r>
        <w:t xml:space="preserve">La FDS date du 2011-11-22. Elle a donc 14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Classe 8</w:t>
      </w:r>
    </w:p>
    <w:p>
      <w:pPr>
        <w:pStyle w:val="Compact"/>
        <w:numPr>
          <w:ilvl w:val="0"/>
          <w:numId w:val="1003"/>
        </w:numPr>
      </w:pPr>
      <w:r>
        <w:t xml:space="preserve">RID : -</w:t>
      </w:r>
    </w:p>
    <w:p>
      <w:pPr>
        <w:pStyle w:val="Compact"/>
        <w:numPr>
          <w:ilvl w:val="0"/>
          <w:numId w:val="1003"/>
        </w:numPr>
      </w:pPr>
      <w:r>
        <w:t xml:space="preserve">ADN : Classe 8</w:t>
      </w:r>
    </w:p>
    <w:p>
      <w:pPr>
        <w:pStyle w:val="Compact"/>
        <w:numPr>
          <w:ilvl w:val="0"/>
          <w:numId w:val="1003"/>
        </w:numPr>
      </w:pPr>
      <w:r>
        <w:t xml:space="preserve">IMDG : Classe 8</w:t>
      </w:r>
    </w:p>
    <w:p>
      <w:pPr>
        <w:pStyle w:val="Compact"/>
        <w:numPr>
          <w:ilvl w:val="0"/>
          <w:numId w:val="1003"/>
        </w:numPr>
      </w:pPr>
      <w:r>
        <w:t xml:space="preserve">IATA : -</w:t>
      </w:r>
    </w:p>
    <w:p>
      <w:pPr>
        <w:pStyle w:val="Compact"/>
        <w:numPr>
          <w:ilvl w:val="0"/>
          <w:numId w:val="1003"/>
        </w:numPr>
      </w:pPr>
      <w:r>
        <w:t xml:space="preserve">UN : 1830</w:t>
      </w:r>
    </w:p>
    <w:bookmarkEnd w:id="30"/>
    <w:bookmarkStart w:id="31" w:name="Xda6f178de632779b007ca26fa4959a763d2c7f4"/>
    <w:p>
      <w:pPr>
        <w:pStyle w:val="Heading2"/>
      </w:pPr>
      <w:r>
        <w:t xml:space="preserve">Dangers et/ou mesures par voie d’exposition</w:t>
      </w:r>
    </w:p>
    <w:p>
      <w:pPr>
        <w:pStyle w:val="FirstParagraph"/>
      </w:pPr>
      <w:r>
        <w:t xml:space="preserve">skin : • Enlever les vêtements contaminés pendant le rinçage.</w:t>
      </w:r>
      <w:r>
        <w:t xml:space="preserve"> </w:t>
      </w:r>
      <w:r>
        <w:t xml:space="preserve">• Rincer la peau immédiatement et abondamment à l’eau (éviter de se doucher).</w:t>
      </w:r>
      <w:r>
        <w:t xml:space="preserve"> </w:t>
      </w:r>
      <w:r>
        <w:t xml:space="preserve">• Appeler un médecin.</w:t>
      </w:r>
    </w:p>
    <w:p>
      <w:pPr>
        <w:pStyle w:val="BodyText"/>
      </w:pPr>
      <w:r>
        <w:t xml:space="preserve">eyes : • Rincer immédiatement, longuement et abondamment (au moins 15 min.) à l’eau.</w:t>
      </w:r>
      <w:r>
        <w:t xml:space="preserve"> </w:t>
      </w:r>
      <w:r>
        <w:t xml:space="preserve">• Enlever les verres de contact.</w:t>
      </w:r>
      <w:r>
        <w:t xml:space="preserve"> </w:t>
      </w:r>
      <w:r>
        <w:t xml:space="preserve">• Consulter un oculiste.</w:t>
      </w:r>
      <w:r>
        <w:t xml:space="preserve"> </w:t>
      </w:r>
      <w:r>
        <w:t xml:space="preserve">• Continuer à rincer ou dégoutter l’œil pendant le transport.</w:t>
      </w:r>
      <w:r>
        <w:t xml:space="preserve"> </w:t>
      </w:r>
      <w:r>
        <w:t xml:space="preserve">• Ne pas utiliser d’agent de neutralisation.</w:t>
      </w:r>
    </w:p>
    <w:p>
      <w:pPr>
        <w:pStyle w:val="BodyText"/>
      </w:pPr>
      <w:r>
        <w:t xml:space="preserve">ingestion : • Ne pas faire vomir.</w:t>
      </w:r>
      <w:r>
        <w:t xml:space="preserve"> </w:t>
      </w:r>
      <w:r>
        <w:t xml:space="preserve">• Rincer la bouche à l’eau.</w:t>
      </w:r>
      <w:r>
        <w:t xml:space="preserve"> </w:t>
      </w:r>
      <w:r>
        <w:t xml:space="preserve">• Faire boire beaucoup d’eau.</w:t>
      </w:r>
      <w:r>
        <w:t xml:space="preserve"> </w:t>
      </w:r>
      <w:r>
        <w:t xml:space="preserve">• Emmener le patient immédiatement à l’hôpital.</w:t>
      </w:r>
    </w:p>
    <w:p>
      <w:pPr>
        <w:pStyle w:val="BodyText"/>
      </w:pPr>
      <w:r>
        <w:t xml:space="preserve">inhalation : • Amener la victime à l’air frais.</w:t>
      </w:r>
      <w:r>
        <w:t xml:space="preserve"> </w:t>
      </w:r>
      <w:r>
        <w:t xml:space="preserve">• Tenir le patient au calme dans une position demi‑assise.</w:t>
      </w:r>
      <w:r>
        <w:t xml:space="preserve"> </w:t>
      </w:r>
      <w:r>
        <w:t xml:space="preserve">• Si la victime ne respire plus ou de façon irrégulière, pratiquer la respiration artificielle.</w:t>
      </w:r>
      <w:r>
        <w:t xml:space="preserve"> </w:t>
      </w:r>
      <w:r>
        <w:t xml:space="preserve">• Emmener le patient à l’hôpital.</w:t>
      </w:r>
    </w:p>
    <w:p>
      <w:r>
        <w:br w:type="page"/>
      </w:r>
    </w:p>
    <w:bookmarkEnd w:id="31"/>
    <w:bookmarkStart w:id="43" w:name="Xd3fd47f9279b52cc9d4b00e07bdfde0bea6594f"/>
    <w:p>
      <w:pPr>
        <w:pStyle w:val="Heading2"/>
      </w:pPr>
      <w:r>
        <w:t xml:space="preserve">Informations relatives aux substances dangereuses présentes</w:t>
      </w:r>
    </w:p>
    <w:bookmarkStart w:id="42" w:name="acide-sulfurique"/>
    <w:p>
      <w:pPr>
        <w:pStyle w:val="Heading3"/>
      </w:pPr>
      <w:r>
        <w:t xml:space="preserve">Acide sulfurique</w:t>
      </w:r>
    </w:p>
    <w:p>
      <w:pPr>
        <w:pStyle w:val="FirstParagraph"/>
      </w:pPr>
      <w:r>
        <w:rPr>
          <w:b/>
          <w:bCs/>
        </w:rPr>
        <w:t xml:space="preserve">Identification</w:t>
      </w:r>
    </w:p>
    <w:p>
      <w:pPr>
        <w:pStyle w:val="Compact"/>
        <w:numPr>
          <w:ilvl w:val="0"/>
          <w:numId w:val="1004"/>
        </w:numPr>
      </w:pPr>
      <w:r>
        <w:t xml:space="preserve">N° CAS : 7664-93-9</w:t>
      </w:r>
    </w:p>
    <w:p>
      <w:pPr>
        <w:pStyle w:val="Compact"/>
        <w:numPr>
          <w:ilvl w:val="0"/>
          <w:numId w:val="1004"/>
        </w:numPr>
      </w:pPr>
      <w:r>
        <w:t xml:space="preserve">N° EINECS : 231-639-5</w:t>
      </w:r>
    </w:p>
    <w:p>
      <w:pPr>
        <w:pStyle w:val="FirstParagraph"/>
      </w:pPr>
      <w:r>
        <w:rPr>
          <w:b/>
          <w:bCs/>
        </w:rPr>
        <w:t xml:space="preserve">Concentration</w:t>
      </w:r>
      <w:r>
        <w:t xml:space="preserve"> </w:t>
      </w:r>
      <w:r>
        <w:t xml:space="preserve">:greater or equal to 51.0</w:t>
      </w:r>
    </w:p>
    <w:p>
      <w:pPr>
        <w:pStyle w:val="BodyText"/>
      </w:pPr>
      <w:r>
        <w:rPr>
          <w:b/>
          <w:bCs/>
        </w:rPr>
        <w:t xml:space="preserve">Dangers</w:t>
      </w:r>
      <w:r>
        <w:t xml:space="preserve"> </w:t>
      </w:r>
      <w:r>
        <w:t xml:space="preserve">:</w:t>
      </w:r>
    </w:p>
    <w:p>
      <w:pPr>
        <w:pStyle w:val="Compact"/>
        <w:numPr>
          <w:ilvl w:val="0"/>
          <w:numId w:val="1005"/>
        </w:numPr>
      </w:pPr>
      <w:r>
        <w:t xml:space="preserve">H314</w:t>
      </w:r>
      <w:r>
        <w:t xml:space="preserve"> </w:t>
      </w:r>
      <w:r>
        <w:t xml:space="preserve">Provoque des brûlures de la peau et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0.2</w:t>
            </w:r>
          </w:p>
        </w:tc>
      </w:tr>
    </w:tbl>
    <w:bookmarkStart w:id="41" w:name="propriétés"/>
    <w:p>
      <w:pPr>
        <w:pStyle w:val="Heading4"/>
      </w:pPr>
      <w:r>
        <w:t xml:space="preserve">Propriétés</w:t>
      </w:r>
    </w:p>
    <w:p>
      <w:pPr>
        <w:pStyle w:val="FirstParagraph"/>
      </w:pPr>
      <w:hyperlink r:id="rId32">
        <w:r>
          <w:rPr>
            <w:rStyle w:val="Hyperlink"/>
            <w:color w:val="0856A0"/>
            <w:u w:val="single"/>
          </w:rPr>
          <w:t xml:space="preserve">Fiche n°30 - Acide sulfurique</w:t>
        </w:r>
      </w:hyperlink>
    </w:p>
    <w:p>
      <w:pPr>
        <w:numPr>
          <w:ilvl w:val="0"/>
          <w:numId w:val="1006"/>
        </w:numPr>
      </w:pPr>
      <w:hyperlink r:id="rId33">
        <w:r>
          <w:rPr>
            <w:rStyle w:val="Hyperlink"/>
            <w:color w:val="0856A0"/>
            <w:u w:val="single"/>
          </w:rPr>
          <w:t xml:space="preserve">Généralités</w:t>
        </w:r>
      </w:hyperlink>
    </w:p>
    <w:p>
      <w:pPr>
        <w:numPr>
          <w:ilvl w:val="0"/>
          <w:numId w:val="1006"/>
        </w:numPr>
      </w:pPr>
      <w:hyperlink r:id="rId34">
        <w:r>
          <w:rPr>
            <w:rStyle w:val="Hyperlink"/>
            <w:color w:val="0856A0"/>
            <w:u w:val="single"/>
          </w:rPr>
          <w:t xml:space="preserve">Caractéristiques</w:t>
        </w:r>
      </w:hyperlink>
    </w:p>
    <w:p>
      <w:pPr>
        <w:numPr>
          <w:ilvl w:val="0"/>
          <w:numId w:val="1006"/>
        </w:numPr>
      </w:pPr>
      <w:hyperlink r:id="rId35">
        <w:r>
          <w:rPr>
            <w:rStyle w:val="Hyperlink"/>
            <w:color w:val="0856A0"/>
            <w:u w:val="single"/>
          </w:rPr>
          <w:t xml:space="preserve">VLEPMesurage</w:t>
        </w:r>
      </w:hyperlink>
    </w:p>
    <w:p>
      <w:pPr>
        <w:numPr>
          <w:ilvl w:val="0"/>
          <w:numId w:val="1006"/>
        </w:numPr>
      </w:pPr>
      <w:hyperlink r:id="rId36">
        <w:r>
          <w:rPr>
            <w:rStyle w:val="Hyperlink"/>
            <w:color w:val="0856A0"/>
            <w:u w:val="single"/>
          </w:rPr>
          <w:t xml:space="preserve">Incendie - Explosion</w:t>
        </w:r>
      </w:hyperlink>
    </w:p>
    <w:p>
      <w:pPr>
        <w:numPr>
          <w:ilvl w:val="0"/>
          <w:numId w:val="1006"/>
        </w:numPr>
      </w:pPr>
      <w:hyperlink r:id="rId37">
        <w:r>
          <w:rPr>
            <w:rStyle w:val="Hyperlink"/>
            <w:color w:val="0856A0"/>
            <w:u w:val="single"/>
          </w:rPr>
          <w:t xml:space="preserve">Pathologie - Toxicologie</w:t>
        </w:r>
      </w:hyperlink>
    </w:p>
    <w:p>
      <w:pPr>
        <w:numPr>
          <w:ilvl w:val="0"/>
          <w:numId w:val="1006"/>
        </w:numPr>
      </w:pPr>
      <w:hyperlink r:id="rId38">
        <w:r>
          <w:rPr>
            <w:rStyle w:val="Hyperlink"/>
            <w:color w:val="0856A0"/>
            <w:u w:val="single"/>
          </w:rPr>
          <w:t xml:space="preserve">Règlementation</w:t>
        </w:r>
      </w:hyperlink>
    </w:p>
    <w:p>
      <w:pPr>
        <w:numPr>
          <w:ilvl w:val="0"/>
          <w:numId w:val="1006"/>
        </w:numPr>
      </w:pPr>
      <w:hyperlink r:id="rId39">
        <w:r>
          <w:rPr>
            <w:rStyle w:val="Hyperlink"/>
            <w:color w:val="0856A0"/>
            <w:u w:val="single"/>
          </w:rPr>
          <w:t xml:space="preserve">Recommandations</w:t>
        </w:r>
      </w:hyperlink>
    </w:p>
    <w:p>
      <w:pPr>
        <w:numPr>
          <w:ilvl w:val="0"/>
          <w:numId w:val="1006"/>
        </w:numPr>
      </w:pPr>
      <w:hyperlink r:id="rId40">
        <w:r>
          <w:rPr>
            <w:rStyle w:val="Hyperlink"/>
            <w:color w:val="0856A0"/>
            <w:u w:val="single"/>
          </w:rPr>
          <w:t xml:space="preserve">Bibliographie</w:t>
        </w:r>
      </w:hyperlink>
    </w:p>
    <w:bookmarkEnd w:id="41"/>
    <w:bookmarkEnd w:id="42"/>
    <w:bookmarkEnd w:id="43"/>
    <w:bookmarkStart w:id="44"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 Matériau: Néoprène. • Temps de pénétration: &gt; 480 minutes (8 h). • Épaisseur: 1,5 mm. • Norme: EN 374 (gants de sécurité).</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du visage • Lunettes de sécurité fermées ou écran facial.</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 Matériau: Néoprène. • Temps de pénétration: &gt; 480 minutes (8 h). • Épaisseur: 1,5 mm. • Norme: EN 374 (gants de sécurité).</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 respiratoire • Type: Masque respiratoire à gaz CE-agréé. • Filtre: Type E (filtre à gaz).</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 • Vêtement de protection approprié, résistant aux acides.</w:t>
            </w:r>
          </w:p>
        </w:tc>
      </w:tr>
    </w:tbl>
    <w:bookmarkEnd w:id="44"/>
    <w:bookmarkStart w:id="45"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Éviter le contact avec tout ! - Éviter toute inhalation de vapeurs et le contact avec la peau, les yeux et les vêtements. - Porter l’équipement individuel de protection recommandé (voir section 8). - Éviter le réchauffage, le giclement et la formation de vapeurs, lors de la vidange, du transvasement, de la dilution ou de la dissolution du produit. - En diluant, toujours verser la solution acide sur l’eau, jamais vice versa. - Ne pas manger, ne pas boire et ne pas fumer pendant l’utilisation. - Des rince‑œil et des douches de sécurité doivent être installés à proximité de toute source possible d’exposition.</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uniquement dans le récipient d’origine bien fermé, dans un endroit frais, bien ventilé et sec. Tous les produits dangereux devraient être placés sur un bac récepteur ou être entonnés. Conserver à l’écart des : bases, agents réducteurs, combustibles. Température de conservation : 10‑30 °C. Matériaux d’emballage recommandés : polyéthylène, polypropylène, verre. Matériaux d’emballage déconseillés : certains métaux.</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Information not available in document.</w:t>
            </w:r>
          </w:p>
        </w:tc>
      </w:tr>
    </w:tbl>
    <w:bookmarkEnd w:id="45"/>
    <w:bookmarkEnd w:id="46"/>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 Id="rId32" Type="http://schemas.openxmlformats.org/officeDocument/2006/relationships/hyperlink" Target="https://www.inrs.fr/publications/bdd/fichetox/fiche.html?refINRS=FICHETOX_30" TargetMode="External"/><Relationship Id="rId35" Type="http://schemas.openxmlformats.org/officeDocument/2006/relationships/hyperlink" Target="https://www.inrs.fr/publications/bdd/fichetox/fiche.html?refINRS=FICHETOX_30&amp;section=VLEPMesurage" TargetMode="External"/><Relationship Id="rId40" Type="http://schemas.openxmlformats.org/officeDocument/2006/relationships/hyperlink" Target="https://www.inrs.fr/publications/bdd/fichetox/fiche.html?refINRS=FICHETOX_30&amp;section=bibliographieAuteurs" TargetMode="External"/><Relationship Id="rId34" Type="http://schemas.openxmlformats.org/officeDocument/2006/relationships/hyperlink" Target="https://www.inrs.fr/publications/bdd/fichetox/fiche.html?refINRS=FICHETOX_30&amp;section=caracteristiques" TargetMode="External"/><Relationship Id="rId33" Type="http://schemas.openxmlformats.org/officeDocument/2006/relationships/hyperlink" Target="https://www.inrs.fr/publications/bdd/fichetox/fiche.html?refINRS=FICHETOX_30&amp;section=generalites" TargetMode="External"/><Relationship Id="rId36" Type="http://schemas.openxmlformats.org/officeDocument/2006/relationships/hyperlink" Target="https://www.inrs.fr/publications/bdd/fichetox/fiche.html?refINRS=FICHETOX_30&amp;section=incendieExplosion" TargetMode="External"/><Relationship Id="rId37" Type="http://schemas.openxmlformats.org/officeDocument/2006/relationships/hyperlink" Target="https://www.inrs.fr/publications/bdd/fichetox/fiche.html?refINRS=FICHETOX_30&amp;section=pathologieToxicologie" TargetMode="External"/><Relationship Id="rId39" Type="http://schemas.openxmlformats.org/officeDocument/2006/relationships/hyperlink" Target="https://www.inrs.fr/publications/bdd/fichetox/fiche.html?refINRS=FICHETOX_30&amp;section=recommandations" TargetMode="External"/><Relationship Id="rId38" Type="http://schemas.openxmlformats.org/officeDocument/2006/relationships/hyperlink" Target="https://www.inrs.fr/publications/bdd/fichetox/fiche.html?refINRS=FICHETOX_30&amp;section=reglementation" TargetMode="External"/></Relationships>
</file>

<file path=word/_rels/footnotes.xml.rels><?xml version='1.0' encoding='UTF-8' standalone='yes'?>
<Relationships xmlns="http://schemas.openxmlformats.org/package/2006/relationships"><Relationship Id="rId32" Type="http://schemas.openxmlformats.org/officeDocument/2006/relationships/hyperlink" Target="https://www.inrs.fr/publications/bdd/fichetox/fiche.html?refINRS=FICHETOX_30" TargetMode="External"/><Relationship Id="rId35" Type="http://schemas.openxmlformats.org/officeDocument/2006/relationships/hyperlink" Target="https://www.inrs.fr/publications/bdd/fichetox/fiche.html?refINRS=FICHETOX_30&amp;section=VLEPMesurage" TargetMode="External"/><Relationship Id="rId40" Type="http://schemas.openxmlformats.org/officeDocument/2006/relationships/hyperlink" Target="https://www.inrs.fr/publications/bdd/fichetox/fiche.html?refINRS=FICHETOX_30&amp;section=bibliographieAuteurs" TargetMode="External"/><Relationship Id="rId34" Type="http://schemas.openxmlformats.org/officeDocument/2006/relationships/hyperlink" Target="https://www.inrs.fr/publications/bdd/fichetox/fiche.html?refINRS=FICHETOX_30&amp;section=caracteristiques" TargetMode="External"/><Relationship Id="rId33" Type="http://schemas.openxmlformats.org/officeDocument/2006/relationships/hyperlink" Target="https://www.inrs.fr/publications/bdd/fichetox/fiche.html?refINRS=FICHETOX_30&amp;section=generalites" TargetMode="External"/><Relationship Id="rId36" Type="http://schemas.openxmlformats.org/officeDocument/2006/relationships/hyperlink" Target="https://www.inrs.fr/publications/bdd/fichetox/fiche.html?refINRS=FICHETOX_30&amp;section=incendieExplosion" TargetMode="External"/><Relationship Id="rId37" Type="http://schemas.openxmlformats.org/officeDocument/2006/relationships/hyperlink" Target="https://www.inrs.fr/publications/bdd/fichetox/fiche.html?refINRS=FICHETOX_30&amp;section=pathologieToxicologie" TargetMode="External"/><Relationship Id="rId39" Type="http://schemas.openxmlformats.org/officeDocument/2006/relationships/hyperlink" Target="https://www.inrs.fr/publications/bdd/fichetox/fiche.html?refINRS=FICHETOX_30&amp;section=recommandations" TargetMode="External"/><Relationship Id="rId38" Type="http://schemas.openxmlformats.org/officeDocument/2006/relationships/hyperlink" Target="https://www.inrs.fr/publications/bdd/fichetox/fiche.html?refINRS=FICHETOX_30&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2026-04-30T11:03:12Z</dcterms:created>
  <dcterms:modified xsi:type="dcterms:W3CDTF">2026-04-30T11:03:12Z</dcterms:modified>
</cp:coreProperties>
</file>

<file path=docProps/custom.xml><?xml version="1.0" encoding="utf-8"?>
<Properties xmlns="http://schemas.openxmlformats.org/officeDocument/2006/custom-properties" xmlns:vt="http://schemas.openxmlformats.org/officeDocument/2006/docPropsVTypes"/>
</file>