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phosphatetricalcique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CIMO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phosphatetricalcique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phosphatetricalcique"/>
    <w:p>
      <w:pPr>
        <w:pStyle w:val="Heading1"/>
      </w:pPr>
      <w:r>
        <w:t xml:space="preserve">Analyse des dangers : phosphatetricalcique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phosphatetricalcique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CIMO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blanche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principale: composant d’engrais.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2017-01-01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2017-01-01.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soigneusement la zone touchée avec de l’eau et du savon.</w:t>
      </w:r>
      <w:r>
        <w:t xml:space="preserve"> </w:t>
      </w:r>
      <w:r>
        <w:t xml:space="preserve">Si une irritation ou une rougeur se développe et persiste, obtenir une aide médicale.</w:t>
      </w:r>
    </w:p>
    <w:p>
      <w:pPr>
        <w:pStyle w:val="BodyText"/>
      </w:pPr>
      <w:r>
        <w:t xml:space="preserve">eyes : Laver les yeux touchés pendant au moins 15 minutes sous l’eau courante, les paupières écartées.</w:t>
      </w:r>
      <w:r>
        <w:t xml:space="preserve"> </w:t>
      </w:r>
      <w:r>
        <w:t xml:space="preserve">Obtenir une aide médicale (P351).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inhalation : Maintenir le patient au calme et le déplacer à l’air frais.</w:t>
      </w:r>
      <w:r>
        <w:t xml:space="preserve"> </w:t>
      </w:r>
      <w:r>
        <w:t xml:space="preserve">Si les symptômes persistent, obtenir une aide médicale.</w:t>
      </w:r>
      <w:r>
        <w:t xml:space="preserve"> </w:t>
      </w:r>
      <w:r>
        <w:t xml:space="preserve">Si la victime ne respire pas, pratiquer la respiration artificielle.</w:t>
      </w:r>
      <w:r>
        <w:t xml:space="preserve"> </w:t>
      </w:r>
      <w:r>
        <w:t xml:space="preserve">Si des difficultés respiratoires apparaissent, administrer de l’oxygène par une personne qualifiée.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phosphate-tricalcique"/>
    <w:p>
      <w:pPr>
        <w:pStyle w:val="Heading3"/>
      </w:pPr>
      <w:r>
        <w:t xml:space="preserve">Phosphate tricalcique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7758-87-4</w:t>
      </w:r>
    </w:p>
    <w:p>
      <w:pPr>
        <w:pStyle w:val="Compact"/>
        <w:numPr>
          <w:ilvl w:val="0"/>
          <w:numId w:val="1004"/>
        </w:numPr>
      </w:pPr>
      <w:r>
        <w:t xml:space="preserve">N° EINECS : 231-840-8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80.0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résistant aux produits chimiques (norme EN 374). - Matériau recommandé :  – Nitrile : 0,4 mm d’épaisseur (indice de protection 6, &gt; 480 min selon EN 374).  – Chloroprène : 0,5 mm.  – Chlorure de polyvinyle : 0,7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avec protections latérales (lunettes à montures) – norme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résistant aux produits chimiques (norme EN 374). - Matériau recommandé :  – Nitrile : 0,4 mm d’épaisseur (indice de protection 6, &gt; 480 min selon EN 374).  – Chloroprène : 0,5 mm.  – Chlorure de polyvinyle : 0,7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Appareil respiratoire isolant (si un appareil filtrant ne suffit pas). - Filtre à particules à efficacité moyenne pour particules solides ou liquides (ex. EN 143 ou 149, Type P2 ou FFP2).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Tablier, bottes de protection, combinaison de protection. - En cas de poussière, combinaison conforme à la norme EN ISO 13982.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Protéger les voies respiratoires lorsque de grandes quantités sont transvasées sans système d’aspiration à la source. - Éviter la formation de poussières. - Porter un équipement de protection individuelle comme décrit au chapitre 8 (gants, lunettes, vêtements, etc.). - Laver les vêtements et chaussures contaminés.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Tenir le contenant hermétiquement fermé et sec. - Stocker dans un endroit frais. - Le produit est stable dans des conditions normales.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principale: composant d’engrais.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2026-04-30T11:05:53Z</dcterms:created>
  <dcterms:modified xsi:type="dcterms:W3CDTF">2026-04-30T11:05:53Z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