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belgagri-murinfacoumpastagrezhainok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Belgagri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belgagri-murinfacoumpastagrezhainok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7" w:name="X336b6ce6d08ed40f25867ca9d910934a6b3a31d"/>
    <w:p>
      <w:pPr>
        <w:pStyle w:val="Heading1"/>
      </w:pPr>
      <w:r>
        <w:t xml:space="preserve">Analyse des dangers : belgagri-murinfacoumpastagrezhainok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belgagri-murinfacoumpastagrezhainok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Belgagri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rodenticides destinés à un usage professionnel et à un usage par les consommateurs (grand public)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2016-05-27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2016-05-27. Elle a donc 9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3"/>
        </w:numPr>
      </w:pPr>
      <w:r>
        <w:t xml:space="preserve">P103</w:t>
      </w:r>
      <w:r>
        <w:t xml:space="preserve"> </w:t>
      </w:r>
      <w:r>
        <w:t xml:space="preserve">Lire l’étiquette avant utilisation.</w:t>
      </w:r>
    </w:p>
    <w:p>
      <w:pPr>
        <w:numPr>
          <w:ilvl w:val="0"/>
          <w:numId w:val="1003"/>
        </w:numPr>
      </w:pPr>
      <w:r>
        <w:t xml:space="preserve">P262</w:t>
      </w:r>
      <w:r>
        <w:t xml:space="preserve"> </w:t>
      </w:r>
      <w:r>
        <w:t xml:space="preserve">Éviter tout contact avec les yeux, la peau ou les vêtements.</w:t>
      </w:r>
    </w:p>
    <w:p>
      <w:pPr>
        <w:numPr>
          <w:ilvl w:val="0"/>
          <w:numId w:val="1003"/>
        </w:numPr>
      </w:pPr>
      <w:r>
        <w:t xml:space="preserve">P270</w:t>
      </w:r>
      <w:r>
        <w:t xml:space="preserve"> </w:t>
      </w:r>
      <w:r>
        <w:t xml:space="preserve">Ne pas manger, boire ou fumer en manipulant ce produit.</w:t>
      </w:r>
    </w:p>
    <w:p>
      <w:pPr>
        <w:numPr>
          <w:ilvl w:val="0"/>
          <w:numId w:val="1003"/>
        </w:numPr>
      </w:pPr>
      <w:r>
        <w:t xml:space="preserve">P273</w:t>
      </w:r>
      <w:r>
        <w:t xml:space="preserve"> </w:t>
      </w:r>
      <w:r>
        <w:t xml:space="preserve">Éviter le rejet dans l’environnement.</w:t>
      </w:r>
    </w:p>
    <w:p>
      <w:pPr>
        <w:numPr>
          <w:ilvl w:val="0"/>
          <w:numId w:val="1003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3"/>
        </w:numPr>
      </w:pPr>
      <w:r>
        <w:t xml:space="preserve">P301+P310</w:t>
      </w:r>
      <w:r>
        <w:t xml:space="preserve"> </w:t>
      </w:r>
      <w:r>
        <w:t xml:space="preserve">EN CAS D’INGESTION:</w:t>
      </w:r>
    </w:p>
    <w:p>
      <w:pPr>
        <w:numPr>
          <w:ilvl w:val="0"/>
          <w:numId w:val="1003"/>
        </w:numPr>
      </w:pPr>
      <w:r>
        <w:t xml:space="preserve">P405</w:t>
      </w:r>
      <w:r>
        <w:t xml:space="preserve"> </w:t>
      </w:r>
      <w:r>
        <w:t xml:space="preserve">Garder sous clef.</w:t>
      </w:r>
    </w:p>
    <w:p>
      <w:pPr>
        <w:numPr>
          <w:ilvl w:val="0"/>
          <w:numId w:val="1003"/>
        </w:numPr>
      </w:pPr>
      <w:r>
        <w:t xml:space="preserve">P420</w:t>
      </w:r>
      <w:r>
        <w:t xml:space="preserve"> </w:t>
      </w:r>
      <w:r>
        <w:t xml:space="preserve">Stocker à l’écart des autres matières.</w:t>
      </w:r>
    </w:p>
    <w:p>
      <w:pPr>
        <w:numPr>
          <w:ilvl w:val="0"/>
          <w:numId w:val="1003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ADR : -</w:t>
      </w:r>
    </w:p>
    <w:p>
      <w:pPr>
        <w:pStyle w:val="Compact"/>
        <w:numPr>
          <w:ilvl w:val="0"/>
          <w:numId w:val="1004"/>
        </w:numPr>
      </w:pPr>
      <w:r>
        <w:t xml:space="preserve">RID : -</w:t>
      </w:r>
    </w:p>
    <w:p>
      <w:pPr>
        <w:pStyle w:val="Compact"/>
        <w:numPr>
          <w:ilvl w:val="0"/>
          <w:numId w:val="1004"/>
        </w:numPr>
      </w:pPr>
      <w:r>
        <w:t xml:space="preserve">ADN : -</w:t>
      </w:r>
    </w:p>
    <w:p>
      <w:pPr>
        <w:pStyle w:val="Compact"/>
        <w:numPr>
          <w:ilvl w:val="0"/>
          <w:numId w:val="1004"/>
        </w:numPr>
      </w:pPr>
      <w:r>
        <w:t xml:space="preserve">IMDG : -</w:t>
      </w:r>
    </w:p>
    <w:p>
      <w:pPr>
        <w:pStyle w:val="Compact"/>
        <w:numPr>
          <w:ilvl w:val="0"/>
          <w:numId w:val="1004"/>
        </w:numPr>
      </w:pPr>
      <w:r>
        <w:t xml:space="preserve">IATA : -</w:t>
      </w:r>
    </w:p>
    <w:p>
      <w:pPr>
        <w:pStyle w:val="Compact"/>
        <w:numPr>
          <w:ilvl w:val="0"/>
          <w:numId w:val="1004"/>
        </w:numPr>
      </w:pPr>
      <w:r>
        <w:t xml:space="preserve">UN : -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la peau avec beaucoup d’eau. En cas d’irritation cutanée, consulter un médecin.</w:t>
      </w:r>
    </w:p>
    <w:p>
      <w:pPr>
        <w:pStyle w:val="BodyText"/>
      </w:pPr>
      <w:r>
        <w:t xml:space="preserve">eyes : Rincer les yeux à l’eau par mesure de précaution. Consulter un médecin si l’irritation se développe.</w:t>
      </w:r>
    </w:p>
    <w:p>
      <w:pPr>
        <w:pStyle w:val="BodyText"/>
      </w:pPr>
      <w:r>
        <w:t xml:space="preserve">ingestion : Appeler un centre antipoison ou un médecin en cas de malaise.</w:t>
      </w:r>
    </w:p>
    <w:p>
      <w:pPr>
        <w:pStyle w:val="BodyText"/>
      </w:pPr>
      <w:r>
        <w:t xml:space="preserve">inhalation : Transporter la personne à l’extérieur et la maintenir dans une position où elle peut respirer confortablement.</w:t>
      </w:r>
    </w:p>
    <w:p>
      <w:r>
        <w:br w:type="page"/>
      </w:r>
    </w:p>
    <w:bookmarkEnd w:id="31"/>
    <w:bookmarkStart w:id="3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Xe1325a0dce0e11139486b0cd75f2fc2ecb78325"/>
    <w:p>
      <w:pPr>
        <w:pStyle w:val="Heading3"/>
      </w:pPr>
      <w:r>
        <w:t xml:space="preserve">brodifacoum (ISO); 4-hydroxy-3-(3-(4’-bromo-4-phenyl)-1,2,3,4-tetrahydro-1-naphthyl)coumarin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5"/>
        </w:numPr>
      </w:pPr>
      <w:r>
        <w:t xml:space="preserve">N° CAS : 56073-10-0</w:t>
      </w:r>
    </w:p>
    <w:p>
      <w:pPr>
        <w:pStyle w:val="Compact"/>
        <w:numPr>
          <w:ilvl w:val="0"/>
          <w:numId w:val="1005"/>
        </w:numPr>
      </w:pPr>
      <w:r>
        <w:t xml:space="preserve">N° EINECS : 259-980-5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0.005 to 0.005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6"/>
        </w:numPr>
      </w:pPr>
      <w:r>
        <w:t xml:space="preserve">H300</w:t>
      </w:r>
      <w:r>
        <w:t xml:space="preserve"> </w:t>
      </w:r>
      <w:r>
        <w:t xml:space="preserve">Fatal if swallowed</w:t>
      </w:r>
    </w:p>
    <w:p>
      <w:pPr>
        <w:numPr>
          <w:ilvl w:val="0"/>
          <w:numId w:val="1006"/>
        </w:numPr>
      </w:pPr>
      <w:r>
        <w:t xml:space="preserve">H310</w:t>
      </w:r>
      <w:r>
        <w:t xml:space="preserve"> </w:t>
      </w:r>
      <w:r>
        <w:t xml:space="preserve">Mortel par contact cutané.</w:t>
      </w:r>
    </w:p>
    <w:p>
      <w:pPr>
        <w:numPr>
          <w:ilvl w:val="0"/>
          <w:numId w:val="1006"/>
        </w:numPr>
      </w:pPr>
      <w:r>
        <w:t xml:space="preserve">H372</w:t>
      </w:r>
      <w:r>
        <w:t xml:space="preserve"> </w:t>
      </w:r>
      <w:r>
        <w:t xml:space="preserve">Risque avéré d’effets graves pour les organes à la suite d’expositions répétées ou d’une exposition prolongée.</w:t>
      </w:r>
    </w:p>
    <w:p>
      <w:pPr>
        <w:numPr>
          <w:ilvl w:val="0"/>
          <w:numId w:val="1006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6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End w:id="34"/>
    <w:bookmarkStart w:id="3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« Protection des mains : des gants de protection »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Le document ne précise pas le matériau, l’épaisseur, le temps de perçage ou tout autre critère technique.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N/A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« Protection des mains : des gants de protection »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Le document ne précise pas le matériau, l’épaisseur, le temps de perçage ou tout autre critère technique.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Appareil respiratoire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« Protection des voies respiratoires : En cas de ventilation insuffisante, porter un appareil respiratoire approprié »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Aucun détail sur le type (masque à filtre, respirateur autonome, etc.), le niveau de filtration, la durée d’utilisation ou les conditions d’usage.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N/A</w:t>
            </w:r>
          </w:p>
        </w:tc>
      </w:tr>
    </w:tbl>
    <w:bookmarkEnd w:id="35"/>
    <w:bookmarkStart w:id="3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Assurer une bonne ventilation du poste de travail. - Porter un équipement de protection individuel. - Mesures d’hygiène : ne pas manger, boire ou fumer en manipulant ce produit; se laver les mains après toute manipulation; conserver à l’écart des aliments et boissons, y compris ceux pour animaux.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Stocker dans un endroit bien ventilé. - Tenir au frais. - Stocker dans un endroit sec. - Conserver dans l’emballage d’origine.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rodenticides destinés à un usage professionnel et à un usage par les consommateurs (grand public)</w:t>
            </w:r>
          </w:p>
        </w:tc>
      </w:tr>
    </w:tbl>
    <w:bookmarkEnd w:id="36"/>
    <w:bookmarkEnd w:id="3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2026-04-02T13:06:01Z</dcterms:created>
  <dcterms:modified xsi:type="dcterms:W3CDTF">2026-04-02T13:06:01Z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