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bofixherbicidewaterloo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DOW AGROSCIENCES B.V. (BE) BELGIUM BRANCH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bofixherbicidewaterloo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7" w:name="X88e237ac6af81b399ad8af32ac7a9c768f89027"/>
    <w:p>
      <w:pPr>
        <w:pStyle w:val="Heading1"/>
      </w:pPr>
      <w:r>
        <w:t xml:space="preserve">Analyse des dangers : bofixherbicidewaterloo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bofixherbicidewaterloo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DOW AGROSCIENCES B.V. (BE) BELGIUM BRANCH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6,8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phytosanitaire Herbicide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2018-06-11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2018-06-11.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Naphthalène est classée H351 et sa concentration (None–1.0 %) dépasse le seuil de 0.1 %. Le produit devrait donc être classé H351.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bofixherbicidewaterloo devrait être classée H351 selon les dernières classifications harmonisées publiées par l’ECHA.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4" name="Picture"/>
            <a:graphic>
              <a:graphicData uri="http://schemas.openxmlformats.org/drawingml/2006/picture">
                <pic:pic>
                  <pic:nvPicPr>
                    <pic:cNvPr descr="templates/SGH09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4"/>
        </w:numPr>
      </w:pPr>
      <w:r>
        <w:t xml:space="preserve">EUH401</w:t>
      </w:r>
      <w:r>
        <w:t xml:space="preserve"> </w:t>
      </w:r>
      <w:r>
        <w:t xml:space="preserve">Respectez les instructions d’utilisation pour éviter les risques pour la santé humaine et l’environnement.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numPr>
          <w:ilvl w:val="0"/>
          <w:numId w:val="1005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5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Classe 9</w:t>
      </w:r>
    </w:p>
    <w:p>
      <w:pPr>
        <w:pStyle w:val="Compact"/>
        <w:numPr>
          <w:ilvl w:val="0"/>
          <w:numId w:val="1006"/>
        </w:numPr>
      </w:pPr>
      <w:r>
        <w:t xml:space="preserve">RID : Classe 9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Classe 9</w:t>
      </w:r>
    </w:p>
    <w:p>
      <w:pPr>
        <w:pStyle w:val="Compact"/>
        <w:numPr>
          <w:ilvl w:val="0"/>
          <w:numId w:val="1006"/>
        </w:numPr>
      </w:pPr>
      <w:r>
        <w:t xml:space="preserve">IATA : Classe 9</w:t>
      </w:r>
    </w:p>
    <w:p>
      <w:pPr>
        <w:pStyle w:val="Compact"/>
        <w:numPr>
          <w:ilvl w:val="0"/>
          <w:numId w:val="1006"/>
        </w:numPr>
      </w:pPr>
      <w:r>
        <w:t xml:space="preserve">UN : UN 3082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1. Retirer immédiatement les vêtements contaminés.</w:t>
      </w:r>
      <w:r>
        <w:t xml:space="preserve"> </w:t>
      </w:r>
      <w:r>
        <w:t xml:space="preserve">2. Laver la peau avec du savon et beaucoup d’eau pendant 15 à 20 minutes.</w:t>
      </w:r>
      <w:r>
        <w:t xml:space="preserve"> </w:t>
      </w:r>
      <w:r>
        <w:t xml:space="preserve">3. Appeler le centre antipoison ou le médecin pour des conseils de traitement.</w:t>
      </w:r>
      <w:r>
        <w:t xml:space="preserve"> </w:t>
      </w:r>
      <w:r>
        <w:t xml:space="preserve">4. Laver les vêtements avant de les remettre.</w:t>
      </w:r>
      <w:r>
        <w:t xml:space="preserve"> </w:t>
      </w:r>
      <w:r>
        <w:t xml:space="preserve">5. Les souliers et autres articles en cuir contaminés qui ne peuvent être décontaminés doivent être éliminés de façon appropriée.</w:t>
      </w:r>
    </w:p>
    <w:p>
      <w:pPr>
        <w:pStyle w:val="BodyText"/>
      </w:pPr>
      <w:r>
        <w:t xml:space="preserve">eyes : 1. Tenir les yeux ouverts.</w:t>
      </w:r>
      <w:r>
        <w:t xml:space="preserve"> </w:t>
      </w:r>
      <w:r>
        <w:t xml:space="preserve">2. Rincer lentement et doucement pendant 15 à 20 minutes.</w:t>
      </w:r>
      <w:r>
        <w:t xml:space="preserve"> </w:t>
      </w:r>
      <w:r>
        <w:t xml:space="preserve">3. Après les 5 premières minutes, enlever les verres de contact et continuer le rinçage.</w:t>
      </w:r>
      <w:r>
        <w:t xml:space="preserve"> </w:t>
      </w:r>
      <w:r>
        <w:t xml:space="preserve">4. Appeler le centre antipoison ou un médecin pour des conseils de traitement.</w:t>
      </w:r>
      <w:r>
        <w:t xml:space="preserve"> </w:t>
      </w:r>
      <w:r>
        <w:t xml:space="preserve">5. Un lave‑œil d’urgence adéquat doit être disponible sur le lieu de travail.</w:t>
      </w:r>
    </w:p>
    <w:p>
      <w:pPr>
        <w:pStyle w:val="BodyText"/>
      </w:pPr>
      <w:r>
        <w:t xml:space="preserve">ingestion : 1. Appeler immédiatement un centre antipoison ou un médecin.</w:t>
      </w:r>
      <w:r>
        <w:t xml:space="preserve"> </w:t>
      </w:r>
      <w:r>
        <w:t xml:space="preserve">2. Ne pas faire vomir à moins que cela ne soit recommandé par le personnel médical ou le centre antipoison.</w:t>
      </w:r>
      <w:r>
        <w:t xml:space="preserve"> </w:t>
      </w:r>
      <w:r>
        <w:t xml:space="preserve">3. Ne pas faire boire de liquide à la personne.</w:t>
      </w:r>
      <w:r>
        <w:t xml:space="preserve"> </w:t>
      </w:r>
      <w:r>
        <w:t xml:space="preserve">4. Ne rien donner par la bouche si la personne est inconsciente.</w:t>
      </w:r>
    </w:p>
    <w:p>
      <w:pPr>
        <w:pStyle w:val="BodyText"/>
      </w:pPr>
      <w:r>
        <w:t xml:space="preserve">inhalation : 1. Sortir la personne à l’air frais.</w:t>
      </w:r>
      <w:r>
        <w:t xml:space="preserve"> </w:t>
      </w:r>
      <w:r>
        <w:t xml:space="preserve">2. Si la respiration cesse, appeler un centre d’urgence ou une ambulance.</w:t>
      </w:r>
      <w:r>
        <w:t xml:space="preserve"> </w:t>
      </w:r>
      <w:r>
        <w:t xml:space="preserve">3. Pratiquer la respiration artificielle.</w:t>
      </w:r>
      <w:r>
        <w:t xml:space="preserve"> </w:t>
      </w:r>
      <w:r>
        <w:t xml:space="preserve">4. Si la respiration artificielle se fait par bouche à bouche, utiliser une protection (ex. masque de poche).</w:t>
      </w:r>
      <w:r>
        <w:t xml:space="preserve"> </w:t>
      </w:r>
      <w:r>
        <w:t xml:space="preserve">5. Appeler un centre antipoison ou un médecin pour des conseils supplémentaires.</w:t>
      </w:r>
    </w:p>
    <w:p>
      <w:r>
        <w:br w:type="page"/>
      </w:r>
    </w:p>
    <w:bookmarkEnd w:id="37"/>
    <w:bookmarkStart w:id="7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sels-et-esters-de-mcpa"/>
    <w:p>
      <w:pPr>
        <w:pStyle w:val="Heading3"/>
      </w:pPr>
      <w:r>
        <w:t xml:space="preserve">sels et esters de MCPA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5221-16-9</w:t>
      </w:r>
    </w:p>
    <w:p>
      <w:pPr>
        <w:pStyle w:val="Compact"/>
        <w:numPr>
          <w:ilvl w:val="0"/>
          <w:numId w:val="1007"/>
        </w:numPr>
      </w:pPr>
      <w:r>
        <w:t xml:space="preserve">N° EINECS : 226-015-4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21.0 to 29.0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8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8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8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8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fluoroxypr-meptyl-iso"/>
    <w:p>
      <w:pPr>
        <w:pStyle w:val="Heading3"/>
      </w:pPr>
      <w:r>
        <w:t xml:space="preserve">fluoroxypr-meptyl (ISO)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81406-37-3</w:t>
      </w:r>
    </w:p>
    <w:p>
      <w:pPr>
        <w:pStyle w:val="Compact"/>
        <w:numPr>
          <w:ilvl w:val="0"/>
          <w:numId w:val="1009"/>
        </w:numPr>
      </w:pPr>
      <w:r>
        <w:t xml:space="preserve">N° EINECS : 279-752-9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29.0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0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sel-de-monoéthanolamine-du-clopyralid"/>
    <w:p>
      <w:pPr>
        <w:pStyle w:val="Heading3"/>
      </w:pPr>
      <w:r>
        <w:t xml:space="preserve">Sel de monoéthanolamine du clopyralid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57754-85-5</w:t>
      </w:r>
    </w:p>
    <w:p>
      <w:pPr>
        <w:pStyle w:val="Compact"/>
        <w:numPr>
          <w:ilvl w:val="0"/>
          <w:numId w:val="1011"/>
        </w:numPr>
      </w:pPr>
      <w:r>
        <w:t xml:space="preserve">N° EINECS : 260-929-4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2.42 to 2.42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2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Start w:id="45" w:name="X2e20ebc4fa654bac7d0a7e94dd97b2c2c2d2b78"/>
    <w:p>
      <w:pPr>
        <w:pStyle w:val="Heading3"/>
      </w:pPr>
      <w:r>
        <w:t xml:space="preserve">Hydrocarbures, C10, aromatiques, &lt;1% de naphtalène STOT SE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None</w:t>
      </w:r>
    </w:p>
    <w:p>
      <w:pPr>
        <w:pStyle w:val="Compact"/>
        <w:numPr>
          <w:ilvl w:val="0"/>
          <w:numId w:val="1013"/>
        </w:numPr>
      </w:pPr>
      <w:r>
        <w:t xml:space="preserve">N° EINECS : 918-811-1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4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4"/>
    <w:bookmarkEnd w:id="45"/>
    <w:bookmarkStart w:id="47" w:name="alcools-c12-14even-numbered-ethoxylated"/>
    <w:p>
      <w:pPr>
        <w:pStyle w:val="Heading3"/>
      </w:pPr>
      <w:r>
        <w:t xml:space="preserve">Alcools, C12-14(even numbered), ethoxylated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None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6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Start w:id="58" w:name="ether-méthylique-du-dipropylène-glycol"/>
    <w:p>
      <w:pPr>
        <w:pStyle w:val="Heading3"/>
      </w:pPr>
      <w:r>
        <w:t xml:space="preserve">Ether méthylique du Dipropylène glycol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34590-94-8</w:t>
      </w:r>
    </w:p>
    <w:p>
      <w:pPr>
        <w:pStyle w:val="Compact"/>
        <w:numPr>
          <w:ilvl w:val="0"/>
          <w:numId w:val="1017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57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8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18"/>
        </w:numPr>
      </w:pPr>
      <w:hyperlink r:id="rId4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8"/>
        </w:numPr>
      </w:pPr>
      <w:hyperlink r:id="rId5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8"/>
        </w:numPr>
      </w:pPr>
      <w:hyperlink r:id="rId5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8"/>
        </w:numPr>
      </w:pPr>
      <w:hyperlink r:id="rId52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18"/>
        </w:numPr>
      </w:pPr>
      <w:hyperlink r:id="rId5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8"/>
        </w:numPr>
      </w:pPr>
      <w:hyperlink r:id="rId5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8"/>
        </w:numPr>
      </w:pPr>
      <w:hyperlink r:id="rId5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8"/>
        </w:numPr>
      </w:pPr>
      <w:hyperlink r:id="rId5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7"/>
    <w:bookmarkEnd w:id="58"/>
    <w:bookmarkStart w:id="60" w:name="X622aa9b941dcf25c01408c7c05cdbf342caadf2"/>
    <w:p>
      <w:pPr>
        <w:pStyle w:val="Heading3"/>
      </w:pPr>
      <w:r>
        <w:t xml:space="preserve">Poly(oxy-1,2-ethanediyl), .alpha.-sulfo-omega.- (dodecyloxy)-, ammonium salt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32612-48-9</w:t>
      </w:r>
    </w:p>
    <w:p>
      <w:pPr>
        <w:pStyle w:val="Compact"/>
        <w:numPr>
          <w:ilvl w:val="0"/>
          <w:numId w:val="1019"/>
        </w:numPr>
      </w:pPr>
      <w:r>
        <w:t xml:space="preserve">N° EINECS : 608-760-0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9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9"/>
    <w:bookmarkEnd w:id="60"/>
    <w:bookmarkStart w:id="62" w:name="chloro-o-crésol"/>
    <w:p>
      <w:pPr>
        <w:pStyle w:val="Heading3"/>
      </w:pPr>
      <w:r>
        <w:t xml:space="preserve">4-chloro-o-crésol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1"/>
        </w:numPr>
      </w:pPr>
      <w:r>
        <w:t xml:space="preserve">N° CAS : 1570-64-5</w:t>
      </w:r>
    </w:p>
    <w:p>
      <w:pPr>
        <w:pStyle w:val="Compact"/>
        <w:numPr>
          <w:ilvl w:val="0"/>
          <w:numId w:val="1021"/>
        </w:numPr>
      </w:pPr>
      <w:r>
        <w:t xml:space="preserve">N° EINECS : 216-381-3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22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22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22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1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1"/>
    <w:bookmarkEnd w:id="62"/>
    <w:bookmarkStart w:id="73" w:name="naphthalène"/>
    <w:p>
      <w:pPr>
        <w:pStyle w:val="Heading3"/>
      </w:pPr>
      <w:r>
        <w:t xml:space="preserve">Naphthalène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3"/>
        </w:numPr>
      </w:pPr>
      <w:r>
        <w:t xml:space="preserve">N° CAS : 91-20-3</w:t>
      </w:r>
    </w:p>
    <w:p>
      <w:pPr>
        <w:pStyle w:val="Compact"/>
        <w:numPr>
          <w:ilvl w:val="0"/>
          <w:numId w:val="1023"/>
        </w:numPr>
      </w:pPr>
      <w:r>
        <w:t xml:space="preserve">N° EINECS : 202-049-5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24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numPr>
          <w:ilvl w:val="0"/>
          <w:numId w:val="102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2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53.0 - VLE-15min (ppm) : 15.0 - VLE-15min (mg/m³) : 80.0</w:t>
            </w:r>
          </w:p>
        </w:tc>
      </w:tr>
    </w:tbl>
    <w:bookmarkStart w:id="72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3">
        <w:r>
          <w:rPr>
            <w:rStyle w:val="Hyperlink"/>
            <w:color w:val="0856A0"/>
            <w:u w:val="single"/>
          </w:rPr>
          <w:t xml:space="preserve">Fiche n°204 - Naphtalène</w:t>
        </w:r>
      </w:hyperlink>
    </w:p>
    <w:p>
      <w:pPr>
        <w:numPr>
          <w:ilvl w:val="0"/>
          <w:numId w:val="1025"/>
        </w:numPr>
      </w:pPr>
      <w:hyperlink r:id="rId6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5"/>
        </w:numPr>
      </w:pPr>
      <w:hyperlink r:id="rId6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5"/>
        </w:numPr>
      </w:pPr>
      <w:hyperlink r:id="rId6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5"/>
        </w:numPr>
      </w:pPr>
      <w:hyperlink r:id="rId67">
        <w:r>
          <w:rPr>
            <w:rStyle w:val="Hyperlink"/>
            <w:color w:val="0856A0"/>
            <w:u w:val="single"/>
          </w:rPr>
          <w:t xml:space="preserve">Incendie - Explosion[17-19]</w:t>
        </w:r>
      </w:hyperlink>
    </w:p>
    <w:p>
      <w:pPr>
        <w:numPr>
          <w:ilvl w:val="0"/>
          <w:numId w:val="1025"/>
        </w:numPr>
      </w:pPr>
      <w:hyperlink r:id="rId6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5"/>
        </w:numPr>
      </w:pPr>
      <w:hyperlink r:id="rId6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5"/>
        </w:numPr>
      </w:pPr>
      <w:hyperlink r:id="rId7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5"/>
        </w:numPr>
      </w:pPr>
      <w:hyperlink r:id="rId7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2"/>
    <w:bookmarkEnd w:id="73"/>
    <w:bookmarkEnd w:id="74"/>
    <w:bookmarkStart w:id="7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Utiliser des gants homologués EN 374 résistants aux produits chimiques. • Matériaux préférés:  – Polyéthylène  – Ethylvinylalcool laminé (EVAL)  – Chlorure de polyvinyle (PVC ou vinyle)  – Caoutchouc styrène/butadiène  – Viton • Matériaux acceptables pour des gants étanches:  – Butyl caoutchouc  – Polyéthylène chloré  – Caoutchouc naturel (latex)  – Néoprène  – Caoutchouc nitrile/butadiène (NBR) • Recommandations de classe:  – Pour un contact prolongé ou fréquemment répété: gants de classe 5 ou supérieure (temps de passage &gt; 240 min selon EN 374).  – Pour un contact bref: gants de classe 3 ou supérieure (temps de passage &gt; 60 min selon EN 374). • Épaisseur:  – En général, l’épaisseur doit être &gt; 0,35 mm pour offrir une protection suffisante lors de contacts prolongés et fréquents.  – Exception: gants stratifiés multicouches de &lt; 0,35 mm d’épaisseur peuvent offrir une protection prolongée.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Porter des lunettes étanches contre les agents chimiques. • Les lunettes pour travaux chimiques doivent être conformes à la norme EN 166 ou à une norme équivalente.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Utiliser des gants homologués EN 374 résistants aux produits chimiques. • Matériaux préférés:  – Polyéthylène  – Ethylvinylalcool laminé (EVAL)  – Chlorure de polyvinyle (PVC ou vinyle)  – Caoutchouc styrène/butadiène  – Viton • Matériaux acceptables pour des gants étanches:  – Butyl caoutchouc  – Polyéthylène chloré  – Caoutchouc naturel (latex)  – Néoprène  – Caoutchouc nitrile/butadiène (NBR) • Recommandations de classe:  – Pour un contact prolongé ou fréquemment répété: gants de classe 5 ou supérieure (temps de passage &gt; 240 min selon EN 374).  – Pour un contact bref: gants de classe 3 ou supérieure (temps de passage &gt; 60 min selon EN 374). • Épaisseur:  – En général, l’épaisseur doit être &gt; 0,35 mm pour offrir une protection suffisante lors de contacts prolongés et fréquents.  – Exception: gants stratifiés multicouches de &lt; 0,35 mm d’épaisseur peuvent offrir une protection prolongée.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Utiliser un appareil respiratoire filtrant homologué CE. • Filtre combiné contre les vapeurs organiques et les aérosols, type AP2.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Porter des vêtements de protection chimiquement résistants au produit. • Le choix d’équipements spécifiques (écran facial, gants, bottes, tablier ou combinaison de protection complète) sera fait en fonction du type d’opération.</w:t>
            </w:r>
          </w:p>
        </w:tc>
      </w:tr>
    </w:tbl>
    <w:bookmarkEnd w:id="75"/>
    <w:bookmarkStart w:id="7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hors de portée des enfants. - Ne pas avaler. - Éviter tout contact avec les yeux, la peau et les vêtements. - Éviter tout contact prolongé ou répété avec la peau. - Éviter de respirer les vapeurs ou les brouillards. - Laver soigneusement après manipulation. - Conserver le récipient bien fermé. - Utiliser avec une ventilation suffisante.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(BOFIX™ Herbicide) - Conserver dans un endroit sec. - Garder le produit dans son contenant d’origine, hermétiquement fermé lorsqu’il n’est pas utilisé. - Ne pas entreposer à proximité de la nourriture, de produits alimentaires, de médicaments ou d’approvisionnements d’eau potable. - Température de stockage recommandée : &gt; 0 °C. Incompatibilités à éviter - Éviter tout contact avec des acides forts, des bases fortes et des oxydants forts. - L’ajout d’autres produits chimiques peut provoquer une séparation en phases. - Le produit peut coaguler une fois gelé.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phytosanitaire Herbicide</w:t>
            </w:r>
          </w:p>
        </w:tc>
      </w:tr>
    </w:tbl>
    <w:bookmarkEnd w:id="76"/>
    <w:bookmarkEnd w:id="7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3" Type="http://schemas.openxmlformats.org/officeDocument/2006/relationships/hyperlink" Target="https://www.inrs.fr/publications/bdd/fichetox/fiche.html?refINRS=FICHETOX_204" TargetMode="External"/><Relationship Id="rId66" Type="http://schemas.openxmlformats.org/officeDocument/2006/relationships/hyperlink" Target="https://www.inrs.fr/publications/bdd/fichetox/fiche.html?refINRS=FICHETOX_204&amp;section=VLEPMesurage" TargetMode="External"/><Relationship Id="rId71" Type="http://schemas.openxmlformats.org/officeDocument/2006/relationships/hyperlink" Target="https://www.inrs.fr/publications/bdd/fichetox/fiche.html?refINRS=FICHETOX_204&amp;section=bibliographieAuteurs" TargetMode="External"/><Relationship Id="rId65" Type="http://schemas.openxmlformats.org/officeDocument/2006/relationships/hyperlink" Target="https://www.inrs.fr/publications/bdd/fichetox/fiche.html?refINRS=FICHETOX_204&amp;section=caracteristiques" TargetMode="External"/><Relationship Id="rId64" Type="http://schemas.openxmlformats.org/officeDocument/2006/relationships/hyperlink" Target="https://www.inrs.fr/publications/bdd/fichetox/fiche.html?refINRS=FICHETOX_204&amp;section=generalites" TargetMode="External"/><Relationship Id="rId67" Type="http://schemas.openxmlformats.org/officeDocument/2006/relationships/hyperlink" Target="https://www.inrs.fr/publications/bdd/fichetox/fiche.html?refINRS=FICHETOX_204&amp;section=incendieExplosion" TargetMode="External"/><Relationship Id="rId68" Type="http://schemas.openxmlformats.org/officeDocument/2006/relationships/hyperlink" Target="https://www.inrs.fr/publications/bdd/fichetox/fiche.html?refINRS=FICHETOX_204&amp;section=pathologieToxicologie" TargetMode="External"/><Relationship Id="rId70" Type="http://schemas.openxmlformats.org/officeDocument/2006/relationships/hyperlink" Target="https://www.inrs.fr/publications/bdd/fichetox/fiche.html?refINRS=FICHETOX_204&amp;section=recommandations" TargetMode="External"/><Relationship Id="rId69" Type="http://schemas.openxmlformats.org/officeDocument/2006/relationships/hyperlink" Target="https://www.inrs.fr/publications/bdd/fichetox/fiche.html?refINRS=FICHETOX_204&amp;section=reglementation" TargetMode="External"/><Relationship Id="rId48" Type="http://schemas.openxmlformats.org/officeDocument/2006/relationships/hyperlink" Target="https://www.inrs.fr/publications/bdd/fichetox/fiche.html?refINRS=FICHETOX_330" TargetMode="External"/><Relationship Id="rId51" Type="http://schemas.openxmlformats.org/officeDocument/2006/relationships/hyperlink" Target="https://www.inrs.fr/publications/bdd/fichetox/fiche.html?refINRS=FICHETOX_330&amp;section=VLEPMesurage" TargetMode="External"/><Relationship Id="rId56" Type="http://schemas.openxmlformats.org/officeDocument/2006/relationships/hyperlink" Target="https://www.inrs.fr/publications/bdd/fichetox/fiche.html?refINRS=FICHETOX_330&amp;section=bibliographieAuteurs" TargetMode="External"/><Relationship Id="rId50" Type="http://schemas.openxmlformats.org/officeDocument/2006/relationships/hyperlink" Target="https://www.inrs.fr/publications/bdd/fichetox/fiche.html?refINRS=FICHETOX_330&amp;section=caracteristiques" TargetMode="External"/><Relationship Id="rId49" Type="http://schemas.openxmlformats.org/officeDocument/2006/relationships/hyperlink" Target="https://www.inrs.fr/publications/bdd/fichetox/fiche.html?refINRS=FICHETOX_330&amp;section=generalites" TargetMode="External"/><Relationship Id="rId52" Type="http://schemas.openxmlformats.org/officeDocument/2006/relationships/hyperlink" Target="https://www.inrs.fr/publications/bdd/fichetox/fiche.html?refINRS=FICHETOX_330&amp;section=incendieExplosion" TargetMode="External"/><Relationship Id="rId53" Type="http://schemas.openxmlformats.org/officeDocument/2006/relationships/hyperlink" Target="https://www.inrs.fr/publications/bdd/fichetox/fiche.html?refINRS=FICHETOX_330&amp;section=pathologieToxicologie" TargetMode="External"/><Relationship Id="rId55" Type="http://schemas.openxmlformats.org/officeDocument/2006/relationships/hyperlink" Target="https://www.inrs.fr/publications/bdd/fichetox/fiche.html?refINRS=FICHETOX_330&amp;section=recommandations" TargetMode="External"/><Relationship Id="rId54" Type="http://schemas.openxmlformats.org/officeDocument/2006/relationships/hyperlink" Target="https://www.inrs.fr/publications/bdd/fichetox/fiche.html?refINRS=FICHETOX_33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3" Type="http://schemas.openxmlformats.org/officeDocument/2006/relationships/hyperlink" Target="https://www.inrs.fr/publications/bdd/fichetox/fiche.html?refINRS=FICHETOX_204" TargetMode="External"/><Relationship Id="rId66" Type="http://schemas.openxmlformats.org/officeDocument/2006/relationships/hyperlink" Target="https://www.inrs.fr/publications/bdd/fichetox/fiche.html?refINRS=FICHETOX_204&amp;section=VLEPMesurage" TargetMode="External"/><Relationship Id="rId71" Type="http://schemas.openxmlformats.org/officeDocument/2006/relationships/hyperlink" Target="https://www.inrs.fr/publications/bdd/fichetox/fiche.html?refINRS=FICHETOX_204&amp;section=bibliographieAuteurs" TargetMode="External"/><Relationship Id="rId65" Type="http://schemas.openxmlformats.org/officeDocument/2006/relationships/hyperlink" Target="https://www.inrs.fr/publications/bdd/fichetox/fiche.html?refINRS=FICHETOX_204&amp;section=caracteristiques" TargetMode="External"/><Relationship Id="rId64" Type="http://schemas.openxmlformats.org/officeDocument/2006/relationships/hyperlink" Target="https://www.inrs.fr/publications/bdd/fichetox/fiche.html?refINRS=FICHETOX_204&amp;section=generalites" TargetMode="External"/><Relationship Id="rId67" Type="http://schemas.openxmlformats.org/officeDocument/2006/relationships/hyperlink" Target="https://www.inrs.fr/publications/bdd/fichetox/fiche.html?refINRS=FICHETOX_204&amp;section=incendieExplosion" TargetMode="External"/><Relationship Id="rId68" Type="http://schemas.openxmlformats.org/officeDocument/2006/relationships/hyperlink" Target="https://www.inrs.fr/publications/bdd/fichetox/fiche.html?refINRS=FICHETOX_204&amp;section=pathologieToxicologie" TargetMode="External"/><Relationship Id="rId70" Type="http://schemas.openxmlformats.org/officeDocument/2006/relationships/hyperlink" Target="https://www.inrs.fr/publications/bdd/fichetox/fiche.html?refINRS=FICHETOX_204&amp;section=recommandations" TargetMode="External"/><Relationship Id="rId69" Type="http://schemas.openxmlformats.org/officeDocument/2006/relationships/hyperlink" Target="https://www.inrs.fr/publications/bdd/fichetox/fiche.html?refINRS=FICHETOX_204&amp;section=reglementation" TargetMode="External"/><Relationship Id="rId48" Type="http://schemas.openxmlformats.org/officeDocument/2006/relationships/hyperlink" Target="https://www.inrs.fr/publications/bdd/fichetox/fiche.html?refINRS=FICHETOX_330" TargetMode="External"/><Relationship Id="rId51" Type="http://schemas.openxmlformats.org/officeDocument/2006/relationships/hyperlink" Target="https://www.inrs.fr/publications/bdd/fichetox/fiche.html?refINRS=FICHETOX_330&amp;section=VLEPMesurage" TargetMode="External"/><Relationship Id="rId56" Type="http://schemas.openxmlformats.org/officeDocument/2006/relationships/hyperlink" Target="https://www.inrs.fr/publications/bdd/fichetox/fiche.html?refINRS=FICHETOX_330&amp;section=bibliographieAuteurs" TargetMode="External"/><Relationship Id="rId50" Type="http://schemas.openxmlformats.org/officeDocument/2006/relationships/hyperlink" Target="https://www.inrs.fr/publications/bdd/fichetox/fiche.html?refINRS=FICHETOX_330&amp;section=caracteristiques" TargetMode="External"/><Relationship Id="rId49" Type="http://schemas.openxmlformats.org/officeDocument/2006/relationships/hyperlink" Target="https://www.inrs.fr/publications/bdd/fichetox/fiche.html?refINRS=FICHETOX_330&amp;section=generalites" TargetMode="External"/><Relationship Id="rId52" Type="http://schemas.openxmlformats.org/officeDocument/2006/relationships/hyperlink" Target="https://www.inrs.fr/publications/bdd/fichetox/fiche.html?refINRS=FICHETOX_330&amp;section=incendieExplosion" TargetMode="External"/><Relationship Id="rId53" Type="http://schemas.openxmlformats.org/officeDocument/2006/relationships/hyperlink" Target="https://www.inrs.fr/publications/bdd/fichetox/fiche.html?refINRS=FICHETOX_330&amp;section=pathologieToxicologie" TargetMode="External"/><Relationship Id="rId55" Type="http://schemas.openxmlformats.org/officeDocument/2006/relationships/hyperlink" Target="https://www.inrs.fr/publications/bdd/fichetox/fiche.html?refINRS=FICHETOX_330&amp;section=recommandations" TargetMode="External"/><Relationship Id="rId54" Type="http://schemas.openxmlformats.org/officeDocument/2006/relationships/hyperlink" Target="https://www.inrs.fr/publications/bdd/fichetox/fiche.html?refINRS=FICHETOX_33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2026-04-02T13:22:48Z</dcterms:created>
  <dcterms:modified xsi:type="dcterms:W3CDTF">2026-04-02T13:22:48Z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