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edialux-permas-dhain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EDIALUX - FORMULEX n.v./s.a.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edialux-permas-dhain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0" w:name="analyse-des-dangers-edialux-permas-dhain"/>
    <w:p>
      <w:pPr>
        <w:pStyle w:val="Heading1"/>
      </w:pPr>
      <w:r>
        <w:t xml:space="preserve">Analyse des dangers : edialux-permas-dhain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edialux-permas-dhain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EDIALUX - FORMULEX n.v./s.a.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il s’agit d’un produit solide, généralement présenté sous forme de poudre (poudre fine)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Insecticide destiné à un usage à la fois par les consommateurs et à un usage professionnel.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2018-02-14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2018-02-14. Elle a donc 8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Danger pour l’environnement" title="" id="31" name="Picture"/>
            <a:graphic>
              <a:graphicData uri="http://schemas.openxmlformats.org/drawingml/2006/picture">
                <pic:pic>
                  <pic:nvPicPr>
                    <pic:cNvPr descr="templates/SGH09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Danger pour l’environnement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numPr>
          <w:ilvl w:val="0"/>
          <w:numId w:val="1003"/>
        </w:numPr>
      </w:pPr>
      <w:r>
        <w:t xml:space="preserve">EUH208</w:t>
      </w:r>
      <w:r>
        <w:t xml:space="preserve"> </w:t>
      </w:r>
      <w:r>
        <w:t xml:space="preserve">Contient (nom de la substance sensibilisante). Peut produire une réaction allergique.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P102</w:t>
      </w:r>
      <w:r>
        <w:t xml:space="preserve"> </w:t>
      </w:r>
      <w:r>
        <w:t xml:space="preserve">Tenir hors de portée des enfants.</w:t>
      </w:r>
    </w:p>
    <w:p>
      <w:pPr>
        <w:numPr>
          <w:ilvl w:val="0"/>
          <w:numId w:val="1004"/>
        </w:numPr>
      </w:pPr>
      <w:r>
        <w:t xml:space="preserve">P273</w:t>
      </w:r>
      <w:r>
        <w:t xml:space="preserve"> </w:t>
      </w:r>
      <w:r>
        <w:t xml:space="preserve">Éviter le rejet dans l’environnement.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P391</w:t>
      </w:r>
      <w:r>
        <w:t xml:space="preserve"> </w:t>
      </w:r>
      <w:r>
        <w:t xml:space="preserve">Recueillir le produit répandu.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9</w:t>
      </w:r>
    </w:p>
    <w:p>
      <w:pPr>
        <w:pStyle w:val="Compact"/>
        <w:numPr>
          <w:ilvl w:val="0"/>
          <w:numId w:val="1005"/>
        </w:numPr>
      </w:pPr>
      <w:r>
        <w:t xml:space="preserve">RID : 9</w:t>
      </w:r>
    </w:p>
    <w:p>
      <w:pPr>
        <w:pStyle w:val="Compact"/>
        <w:numPr>
          <w:ilvl w:val="0"/>
          <w:numId w:val="1005"/>
        </w:numPr>
      </w:pPr>
      <w:r>
        <w:t xml:space="preserve">ADN : 9</w:t>
      </w:r>
    </w:p>
    <w:p>
      <w:pPr>
        <w:pStyle w:val="Compact"/>
        <w:numPr>
          <w:ilvl w:val="0"/>
          <w:numId w:val="1005"/>
        </w:numPr>
      </w:pPr>
      <w:r>
        <w:t xml:space="preserve">IMDG : 9</w:t>
      </w:r>
    </w:p>
    <w:p>
      <w:pPr>
        <w:pStyle w:val="Compact"/>
        <w:numPr>
          <w:ilvl w:val="0"/>
          <w:numId w:val="1005"/>
        </w:numPr>
      </w:pPr>
      <w:r>
        <w:t xml:space="preserve">IATA : 9</w:t>
      </w:r>
    </w:p>
    <w:p>
      <w:pPr>
        <w:pStyle w:val="Compact"/>
        <w:numPr>
          <w:ilvl w:val="0"/>
          <w:numId w:val="1005"/>
        </w:numPr>
      </w:pPr>
      <w:r>
        <w:t xml:space="preserve">UN : 3077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• Rincer abondamment à l’eau ou prendre une douche pendant 15 minutes.</w:t>
      </w:r>
      <w:r>
        <w:t xml:space="preserve"> </w:t>
      </w:r>
      <w:r>
        <w:t xml:space="preserve">• Enlever les chaussures et les vêtements contaminés.</w:t>
      </w:r>
      <w:r>
        <w:t xml:space="preserve"> </w:t>
      </w:r>
      <w:r>
        <w:t xml:space="preserve">• En cas de symptômes, consulter un médecin et lui montrer l’étiquette ou l’emballage.</w:t>
      </w:r>
    </w:p>
    <w:p>
      <w:pPr>
        <w:pStyle w:val="BodyText"/>
      </w:pPr>
      <w:r>
        <w:t xml:space="preserve">eyes : • Rincer abondamment à l’eau pendant 10 minutes.</w:t>
      </w:r>
      <w:r>
        <w:t xml:space="preserve"> </w:t>
      </w:r>
      <w:r>
        <w:t xml:space="preserve">• Ne pas faire couler l’eau vers l’œil non atteint.</w:t>
      </w:r>
      <w:r>
        <w:t xml:space="preserve"> </w:t>
      </w:r>
      <w:r>
        <w:t xml:space="preserve">• Pour les porteurs de lentilles de contact : enlever les lentilles si possible, puis rincer.</w:t>
      </w:r>
      <w:r>
        <w:t xml:space="preserve"> </w:t>
      </w:r>
      <w:r>
        <w:t xml:space="preserve">• Consulter un médecin et lui montrer l’emballage ou l’étiquette.</w:t>
      </w:r>
    </w:p>
    <w:p>
      <w:pPr>
        <w:pStyle w:val="BodyText"/>
      </w:pPr>
      <w:r>
        <w:t xml:space="preserve">ingestion : • Rincer la bouche.</w:t>
      </w:r>
      <w:r>
        <w:t xml:space="preserve"> </w:t>
      </w:r>
      <w:r>
        <w:t xml:space="preserve">• Consulter le Centre Antipoisons pour savoir si une suspension de charbon de bois dans l’eau est indiquée.</w:t>
      </w:r>
      <w:r>
        <w:t xml:space="preserve"> </w:t>
      </w:r>
      <w:r>
        <w:t xml:space="preserve">• Consulter immédiatement un médecin et lui montrer l’emballage ou l’étiquette.</w:t>
      </w:r>
    </w:p>
    <w:p>
      <w:pPr>
        <w:pStyle w:val="BodyText"/>
      </w:pPr>
      <w:r>
        <w:t xml:space="preserve">inhalation : • Faire respirer de l’air frais.</w:t>
      </w:r>
      <w:r>
        <w:t xml:space="preserve"> </w:t>
      </w:r>
      <w:r>
        <w:t xml:space="preserve">• Mettre la victime au repos.</w:t>
      </w:r>
      <w:r>
        <w:t xml:space="preserve"> </w:t>
      </w:r>
      <w:r>
        <w:t xml:space="preserve">• En cas de symptômes, consulter un médecin et lui montrer l’étiquette ou l’emballage.</w:t>
      </w:r>
    </w:p>
    <w:p>
      <w:r>
        <w:br w:type="page"/>
      </w:r>
    </w:p>
    <w:bookmarkEnd w:id="34"/>
    <w:bookmarkStart w:id="37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6" w:name="X2687c427b49b35af9242b141e12ff7b9f0ab8fd"/>
    <w:p>
      <w:pPr>
        <w:pStyle w:val="Heading3"/>
      </w:pPr>
      <w:r>
        <w:t xml:space="preserve">permethrin (ISO), m-phenoxybenzyl 3-(2,2-dichlorovinyl)-2,2-dimethylcyclopropanecarboxylate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52645-53-1</w:t>
      </w:r>
    </w:p>
    <w:p>
      <w:pPr>
        <w:pStyle w:val="Compact"/>
        <w:numPr>
          <w:ilvl w:val="0"/>
          <w:numId w:val="1006"/>
        </w:numPr>
      </w:pPr>
      <w:r>
        <w:t xml:space="preserve">N° EINECS : 258-067-9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0.75 to 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7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07"/>
        </w:numPr>
      </w:pPr>
      <w:r>
        <w:t xml:space="preserve">H332</w:t>
      </w:r>
      <w:r>
        <w:t xml:space="preserve"> </w:t>
      </w:r>
      <w:r>
        <w:t xml:space="preserve">Nocif par inhalation.</w:t>
      </w:r>
    </w:p>
    <w:p>
      <w:pPr>
        <w:numPr>
          <w:ilvl w:val="0"/>
          <w:numId w:val="1007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07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5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5"/>
    <w:bookmarkEnd w:id="36"/>
    <w:bookmarkEnd w:id="37"/>
    <w:bookmarkStart w:id="38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Chapeau protecteur et masque pour le visage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 antipoussière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 de protection approprié</w:t>
            </w:r>
          </w:p>
        </w:tc>
      </w:tr>
    </w:tbl>
    <w:bookmarkEnd w:id="38"/>
    <w:bookmarkStart w:id="39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Ne pas utiliser aux endroits où séjournent des enfants de moins de 2 ans. - Couvrir les aliments, matières premières et batterie de cuisine pendant le traitement. - Ne pas appliquer dans les machines destinées à la fabrication des aliments, condiments, etc. - Lors de l’épandage au-dessus de la hauteur du visage porter un chapeau protecteur et un masque pour le visage. - En cas d’utilisation professionnelle (avec une poudreuse) : lors du remplissage de l’appareil d’épandage et lors de l’application, porter un vêtement de protection, des gants et un masque à poussières; lors de l’épandage au-dessus de la hauteur du visage porter un chapeau protecteur et un masque pour le visage. - Dû à la haute toxicité pour la vie aquatique de la perméthrine, le produit ne peut être utilisé à proximité des environnements aquatiques.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à l’écart des aliments et boissons, y compris ceux pour animaux. Conserver dans un endroit sec, frais et bien ventilé. Conserver hors de portée des enfants.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Insecticide destiné à un usage à la fois par les consommateurs et à un usage professionnel.</w:t>
            </w:r>
          </w:p>
        </w:tc>
      </w:tr>
    </w:tbl>
    <w:bookmarkEnd w:id="39"/>
    <w:bookmarkEnd w:id="40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2026-04-02T13:24:48Z</dcterms:created>
  <dcterms:modified xsi:type="dcterms:W3CDTF">2026-04-02T13:24:48Z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