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goliathgel-fr2018-fs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BASF SE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goliathgel-fr2018-fs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analyse-des-dangers-goliathgel-fr2018-fs"/>
    <w:p>
      <w:pPr>
        <w:pStyle w:val="Heading1"/>
      </w:pPr>
      <w:r>
        <w:t xml:space="preserve">Analyse des dangers : goliathgel-fr2018-fs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goliathgel-fr2018-fs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BASF SE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semi-solid, pâte visqueuse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5 - 7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Biocide, insecticide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2018-03-19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2018-03-19.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9, EHSM</w:t>
      </w:r>
    </w:p>
    <w:p>
      <w:pPr>
        <w:pStyle w:val="Compact"/>
        <w:numPr>
          <w:ilvl w:val="0"/>
          <w:numId w:val="1005"/>
        </w:numPr>
      </w:pPr>
      <w:r>
        <w:t xml:space="preserve">RID : 9, EHSM</w:t>
      </w:r>
    </w:p>
    <w:p>
      <w:pPr>
        <w:pStyle w:val="Compact"/>
        <w:numPr>
          <w:ilvl w:val="0"/>
          <w:numId w:val="1005"/>
        </w:numPr>
      </w:pPr>
      <w:r>
        <w:t xml:space="preserve">ADN : 9, EHSM</w:t>
      </w:r>
    </w:p>
    <w:p>
      <w:pPr>
        <w:pStyle w:val="Compact"/>
        <w:numPr>
          <w:ilvl w:val="0"/>
          <w:numId w:val="1005"/>
        </w:numPr>
      </w:pPr>
      <w:r>
        <w:t xml:space="preserve">IMDG : 9, EHSM</w:t>
      </w:r>
    </w:p>
    <w:p>
      <w:pPr>
        <w:pStyle w:val="Compact"/>
        <w:numPr>
          <w:ilvl w:val="0"/>
          <w:numId w:val="1005"/>
        </w:numPr>
      </w:pPr>
      <w:r>
        <w:t xml:space="preserve">IATA : 9, EHSM</w:t>
      </w:r>
    </w:p>
    <w:p>
      <w:pPr>
        <w:pStyle w:val="Compact"/>
        <w:numPr>
          <w:ilvl w:val="0"/>
          <w:numId w:val="1005"/>
        </w:numPr>
      </w:pPr>
      <w:r>
        <w:t xml:space="preserve">UN : UN 3082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les vêtements souillés.</w:t>
      </w:r>
      <w:r>
        <w:t xml:space="preserve"> </w:t>
      </w:r>
      <w:r>
        <w:t xml:space="preserve">Laver abondamment la zone touchée avec de l’eau et du savon.</w:t>
      </w:r>
    </w:p>
    <w:p>
      <w:pPr>
        <w:pStyle w:val="BodyText"/>
      </w:pPr>
      <w:r>
        <w:t xml:space="preserve">eyes : Laver à fond à l’eau courante.</w:t>
      </w:r>
      <w:r>
        <w:t xml:space="preserve"> </w:t>
      </w:r>
      <w:r>
        <w:t xml:space="preserve">Maintenir les paupières écartées pendant au moins 15 minutes.</w:t>
      </w:r>
    </w:p>
    <w:p>
      <w:pPr>
        <w:pStyle w:val="BodyText"/>
      </w:pPr>
      <w:r>
        <w:t xml:space="preserve">ingestion : Se rincer la bouche.</w:t>
      </w:r>
      <w:r>
        <w:t xml:space="preserve"> </w:t>
      </w:r>
      <w:r>
        <w:t xml:space="preserve">Boire de l’eau abondamment.</w:t>
      </w:r>
    </w:p>
    <w:p>
      <w:pPr>
        <w:pStyle w:val="BodyText"/>
      </w:pPr>
      <w:r>
        <w:t xml:space="preserve">inhalation : Repos dans un endroit aéré.</w:t>
      </w:r>
      <w:r>
        <w:t xml:space="preserve"> </w:t>
      </w:r>
      <w:r>
        <w:t xml:space="preserve">Respirer de l’air frais.</w:t>
      </w:r>
    </w:p>
    <w:p>
      <w:r>
        <w:br w:type="page"/>
      </w:r>
    </w:p>
    <w:bookmarkEnd w:id="31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134456aba6cbae3ba0423b2980f4cec87fcec71"/>
    <w:p>
      <w:pPr>
        <w:pStyle w:val="Heading3"/>
      </w:pPr>
      <w:r>
        <w:t xml:space="preserve">fipronil (ISO); 5-amino-1-[2,6-dichloro-4-(trifluorométhyl)phényl]-4-[(trifluorométhyl)sulfinyl]-1H-pyrazole-3-carbonitrile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120068-37-3</w:t>
      </w:r>
    </w:p>
    <w:p>
      <w:pPr>
        <w:pStyle w:val="Compact"/>
        <w:numPr>
          <w:ilvl w:val="0"/>
          <w:numId w:val="1006"/>
        </w:numPr>
      </w:pPr>
      <w:r>
        <w:t xml:space="preserve">N° EINECS : 424-610-5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0.05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7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07"/>
        </w:numPr>
      </w:pPr>
      <w:r>
        <w:t xml:space="preserve">H330</w:t>
      </w:r>
      <w:r>
        <w:t xml:space="preserve"> </w:t>
      </w:r>
      <w:r>
        <w:t xml:space="preserve">Fatal if inhaled</w:t>
      </w:r>
    </w:p>
    <w:p>
      <w:pPr>
        <w:numPr>
          <w:ilvl w:val="0"/>
          <w:numId w:val="1007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n°286 - Fipronil</w:t>
        </w:r>
      </w:hyperlink>
    </w:p>
    <w:p>
      <w:pPr>
        <w:numPr>
          <w:ilvl w:val="0"/>
          <w:numId w:val="1008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Explosion[3, 8-10]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Matériaux conformes à la norme EN 374 (résistants aux agents chimiques). - Indice de protection = 6 (conseillé pour un contact direct prolongé). - Temps de perçage = 480 min selon EN 374. - Exemples de matériaux et épaisseurs:  • Caoutchouc nitrile : 0,4 mm  • Caoutchouc chloroprène : 0,5 mm  • Caoutchouc butyle : 0,7 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à monture avec protections latérales. - Conformes à la norme EN 166 (sécurité des yeux)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Matériaux conformes à la norme EN 374 (résistants aux agents chimiques). - Indice de protection = 6 (conseillé pour un contact direct prolongé). - Temps de perçage = 480 min selon EN 374. - Exemples de matériaux et épaisseurs:  • Caoutchouc nitrile : 0,4 mm  • Caoutchouc chloroprène : 0,5 mm  • Caoutchouc butyle : 0,7 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respiratoire non nécessaire (le produit ne nécessite pas de masque)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Choisir en fonction de l’activité et du type d’exposition:  • Tablier  • Bottes de protection  • Combinaison de protection contre les produits chimiques   – Conforme à la norme EN 14605 en cas d’éclaboussures.   – Conforme à la norme EN ISO 13982 en cas de poussières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Aucune mesure particulière n’est nécessaire si le stockage et la manipulation sont appropriés. - Veiller à une bonne aération et ventilation de l’espace de stockage et du lieu de travail. - Ne pas manger, ne pas boire et ne pas fumer pendant l’utilisation. - Se laver les mains et/ou le visage avant les pauses et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Séparer du matériel alimentaire, y compris les aliments pour animaux. - Conserver à l’écart de la chaleur et protéger de l’action directe des rayons de soleil. - Durée de stockage maximale : 36 mois. - Ne pas dépasser 35 °C ; les caractéristiques du produit peuvent se modifier si la température est supérieure à cette valeur pendant une durée prolongée. Incompatibilités à éviter : - Bases fortes - Acides forts - Oxydants puissants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Biocide, insecticide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286" TargetMode="External"/><Relationship Id="rId35" Type="http://schemas.openxmlformats.org/officeDocument/2006/relationships/hyperlink" Target="https://www.inrs.fr/publications/bdd/fichetox/fiche.html?refINRS=FICHETOX_286&amp;section=VLEPMesurage" TargetMode="External"/><Relationship Id="rId40" Type="http://schemas.openxmlformats.org/officeDocument/2006/relationships/hyperlink" Target="https://www.inrs.fr/publications/bdd/fichetox/fiche.html?refINRS=FICHETOX_286&amp;section=bibliographieAuteurs" TargetMode="External"/><Relationship Id="rId34" Type="http://schemas.openxmlformats.org/officeDocument/2006/relationships/hyperlink" Target="https://www.inrs.fr/publications/bdd/fichetox/fiche.html?refINRS=FICHETOX_286&amp;section=caracteristiques" TargetMode="External"/><Relationship Id="rId33" Type="http://schemas.openxmlformats.org/officeDocument/2006/relationships/hyperlink" Target="https://www.inrs.fr/publications/bdd/fichetox/fiche.html?refINRS=FICHETOX_286&amp;section=generalites" TargetMode="External"/><Relationship Id="rId36" Type="http://schemas.openxmlformats.org/officeDocument/2006/relationships/hyperlink" Target="https://www.inrs.fr/publications/bdd/fichetox/fiche.html?refINRS=FICHETOX_286&amp;section=incendieExplosion" TargetMode="External"/><Relationship Id="rId37" Type="http://schemas.openxmlformats.org/officeDocument/2006/relationships/hyperlink" Target="https://www.inrs.fr/publications/bdd/fichetox/fiche.html?refINRS=FICHETOX_286&amp;section=pathologieToxicologie" TargetMode="External"/><Relationship Id="rId39" Type="http://schemas.openxmlformats.org/officeDocument/2006/relationships/hyperlink" Target="https://www.inrs.fr/publications/bdd/fichetox/fiche.html?refINRS=FICHETOX_286&amp;section=recommandations" TargetMode="External"/><Relationship Id="rId38" Type="http://schemas.openxmlformats.org/officeDocument/2006/relationships/hyperlink" Target="https://www.inrs.fr/publications/bdd/fichetox/fiche.html?refINRS=FICHETOX_28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286" TargetMode="External"/><Relationship Id="rId35" Type="http://schemas.openxmlformats.org/officeDocument/2006/relationships/hyperlink" Target="https://www.inrs.fr/publications/bdd/fichetox/fiche.html?refINRS=FICHETOX_286&amp;section=VLEPMesurage" TargetMode="External"/><Relationship Id="rId40" Type="http://schemas.openxmlformats.org/officeDocument/2006/relationships/hyperlink" Target="https://www.inrs.fr/publications/bdd/fichetox/fiche.html?refINRS=FICHETOX_286&amp;section=bibliographieAuteurs" TargetMode="External"/><Relationship Id="rId34" Type="http://schemas.openxmlformats.org/officeDocument/2006/relationships/hyperlink" Target="https://www.inrs.fr/publications/bdd/fichetox/fiche.html?refINRS=FICHETOX_286&amp;section=caracteristiques" TargetMode="External"/><Relationship Id="rId33" Type="http://schemas.openxmlformats.org/officeDocument/2006/relationships/hyperlink" Target="https://www.inrs.fr/publications/bdd/fichetox/fiche.html?refINRS=FICHETOX_286&amp;section=generalites" TargetMode="External"/><Relationship Id="rId36" Type="http://schemas.openxmlformats.org/officeDocument/2006/relationships/hyperlink" Target="https://www.inrs.fr/publications/bdd/fichetox/fiche.html?refINRS=FICHETOX_286&amp;section=incendieExplosion" TargetMode="External"/><Relationship Id="rId37" Type="http://schemas.openxmlformats.org/officeDocument/2006/relationships/hyperlink" Target="https://www.inrs.fr/publications/bdd/fichetox/fiche.html?refINRS=FICHETOX_286&amp;section=pathologieToxicologie" TargetMode="External"/><Relationship Id="rId39" Type="http://schemas.openxmlformats.org/officeDocument/2006/relationships/hyperlink" Target="https://www.inrs.fr/publications/bdd/fichetox/fiche.html?refINRS=FICHETOX_286&amp;section=recommandations" TargetMode="External"/><Relationship Id="rId38" Type="http://schemas.openxmlformats.org/officeDocument/2006/relationships/hyperlink" Target="https://www.inrs.fr/publications/bdd/fichetox/fiche.html?refINRS=FICHETOX_28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2026-04-02T13:27:15Z</dcterms:created>
  <dcterms:modified xsi:type="dcterms:W3CDTF">2026-04-02T13:27:15Z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