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3m-aerosolscotch1609tubok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3M France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2026-04-02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3m-aerosolscotch1609tubok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50" w:name="Xab60d08e61e97edb33539a8c5a731feb2411519"/>
    <w:p>
      <w:pPr>
        <w:pStyle w:val="Heading1"/>
      </w:pPr>
      <w:r>
        <w:t xml:space="preserve">Analyse des dangers : 3m-aerosolscotch1609tubok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3m-aerosolscotch1609tubok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3M France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aerosol (en suspension dans l’air)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Lubrifiant Silicone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2016-05-17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2016-05-17. Elle a donc 9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Naphta léger (pétrole), hydrotraité devrait être classée H340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Naphta léger (pétrole), hydrotraité devrait être classée H350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Naphta léger (pétrole), hydrotraité est classée H340 et sa concentration (None–10.0%) dépasse le seuil de 0.1 %. Le produit devrait donc être classé H340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Naphta léger (pétrole), hydrotraité est classée H350 et sa concentration (None–10.0%) dépasse le seuil de 0.1 %. Le produit devrait donc être classé H350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classe 5F</w:t>
      </w:r>
    </w:p>
    <w:p>
      <w:pPr>
        <w:pStyle w:val="Compact"/>
        <w:numPr>
          <w:ilvl w:val="0"/>
          <w:numId w:val="1004"/>
        </w:numPr>
      </w:pPr>
      <w:r>
        <w:t xml:space="preserve">RID : classe 5F</w:t>
      </w:r>
    </w:p>
    <w:p>
      <w:pPr>
        <w:pStyle w:val="Compact"/>
        <w:numPr>
          <w:ilvl w:val="0"/>
          <w:numId w:val="1004"/>
        </w:numPr>
      </w:pPr>
      <w:r>
        <w:t xml:space="preserve">ADN : pas disponible</w:t>
      </w:r>
    </w:p>
    <w:p>
      <w:pPr>
        <w:pStyle w:val="Compact"/>
        <w:numPr>
          <w:ilvl w:val="0"/>
          <w:numId w:val="1004"/>
        </w:numPr>
      </w:pPr>
      <w:r>
        <w:t xml:space="preserve">IMDG : classe 2.1</w:t>
      </w:r>
    </w:p>
    <w:p>
      <w:pPr>
        <w:pStyle w:val="Compact"/>
        <w:numPr>
          <w:ilvl w:val="0"/>
          <w:numId w:val="1004"/>
        </w:numPr>
      </w:pPr>
      <w:r>
        <w:t xml:space="preserve">IATA : classe 2.1</w:t>
      </w:r>
    </w:p>
    <w:p>
      <w:pPr>
        <w:pStyle w:val="Compact"/>
        <w:numPr>
          <w:ilvl w:val="0"/>
          <w:numId w:val="1004"/>
        </w:numPr>
      </w:pPr>
      <w:r>
        <w:t xml:space="preserve">UN : UN1950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Rincer la peau gelée avec de l’eau tiède.</w:t>
      </w:r>
      <w:r>
        <w:t xml:space="preserve"> </w:t>
      </w:r>
      <w:r>
        <w:t xml:space="preserve">Ne pas frotter la zone affectée.</w:t>
      </w:r>
      <w:r>
        <w:t xml:space="preserve"> </w:t>
      </w:r>
      <w:r>
        <w:t xml:space="preserve">Consulter un médecin.</w:t>
      </w:r>
    </w:p>
    <w:p>
      <w:pPr>
        <w:pStyle w:val="BodyText"/>
      </w:pPr>
      <w:r>
        <w:t xml:space="preserve">eyes : Rincer immédiatement avec beaucoup d’eau.</w:t>
      </w:r>
      <w:r>
        <w:t xml:space="preserve"> </w:t>
      </w:r>
      <w:r>
        <w:t xml:space="preserve">Enlever les lentilles de contact si la victime en porte et si elles peuvent être facilement enlevées.</w:t>
      </w:r>
      <w:r>
        <w:t xml:space="preserve"> </w:t>
      </w:r>
      <w:r>
        <w:t xml:space="preserve">Continuer à rincer.</w:t>
      </w:r>
      <w:r>
        <w:t xml:space="preserve"> </w:t>
      </w:r>
      <w:r>
        <w:t xml:space="preserve">Consulter un médecin.</w:t>
      </w:r>
    </w:p>
    <w:p>
      <w:pPr>
        <w:pStyle w:val="BodyText"/>
      </w:pPr>
      <w:r>
        <w:t xml:space="preserve">ingestion : Rincer la bouche.</w:t>
      </w:r>
      <w:r>
        <w:t xml:space="preserve"> </w:t>
      </w:r>
      <w:r>
        <w:t xml:space="preserve">En cas de malaise, consulter un médecin.</w:t>
      </w:r>
    </w:p>
    <w:p>
      <w:pPr>
        <w:pStyle w:val="BodyText"/>
      </w:pPr>
      <w:r>
        <w:t xml:space="preserve">inhalation : Transporter la personne à l’air frais.</w:t>
      </w:r>
      <w:r>
        <w:t xml:space="preserve"> </w:t>
      </w:r>
      <w:r>
        <w:t xml:space="preserve">Consulter un médecin.</w:t>
      </w:r>
    </w:p>
    <w:p>
      <w:r>
        <w:br w:type="page"/>
      </w:r>
    </w:p>
    <w:bookmarkEnd w:id="31"/>
    <w:bookmarkStart w:id="47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butane"/>
    <w:p>
      <w:pPr>
        <w:pStyle w:val="Heading3"/>
      </w:pPr>
      <w:r>
        <w:t xml:space="preserve">Butane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106-97-8</w:t>
      </w:r>
    </w:p>
    <w:p>
      <w:pPr>
        <w:pStyle w:val="Compact"/>
        <w:numPr>
          <w:ilvl w:val="0"/>
          <w:numId w:val="1005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60.0 to 90.0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6"/>
        </w:numPr>
      </w:pPr>
      <w:r>
        <w:t xml:space="preserve">H220</w:t>
      </w:r>
      <w:r>
        <w:t xml:space="preserve"> </w:t>
      </w:r>
      <w:r>
        <w:t xml:space="preserve">Gaz extrêmement inflammable.</w:t>
      </w:r>
    </w:p>
    <w:p>
      <w:pPr>
        <w:numPr>
          <w:ilvl w:val="0"/>
          <w:numId w:val="1006"/>
        </w:numPr>
      </w:pPr>
      <w:r>
        <w:t xml:space="preserve">H280</w:t>
      </w:r>
      <w:r>
        <w:t xml:space="preserve"> </w:t>
      </w:r>
      <w:r>
        <w:t xml:space="preserve">Contient un gaz sous pression; peut exploser sous l’effet de la chaleur.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VLE-15min (ppm) : 980.0 - VLE-15min (mg/m³) : 2370.0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Start w:id="35" w:name="polydiméthylsiloxane"/>
    <w:p>
      <w:pPr>
        <w:pStyle w:val="Heading3"/>
      </w:pPr>
      <w:r>
        <w:t xml:space="preserve">Poly(diméthylsiloxane)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7"/>
        </w:numPr>
      </w:pPr>
      <w:r>
        <w:t xml:space="preserve">N° CAS : 63148-62-9</w:t>
      </w:r>
    </w:p>
    <w:p>
      <w:pPr>
        <w:pStyle w:val="Compact"/>
        <w:numPr>
          <w:ilvl w:val="0"/>
          <w:numId w:val="1007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5.0 to 20.0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4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4"/>
    <w:bookmarkEnd w:id="35"/>
    <w:bookmarkStart w:id="46" w:name="naphta-léger-pétrole-hydrotraité"/>
    <w:p>
      <w:pPr>
        <w:pStyle w:val="Heading3"/>
      </w:pPr>
      <w:r>
        <w:t xml:space="preserve">Naphta léger (pétrole), hydrotraité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64742-49-0</w:t>
      </w:r>
    </w:p>
    <w:p>
      <w:pPr>
        <w:pStyle w:val="Compact"/>
        <w:numPr>
          <w:ilvl w:val="0"/>
          <w:numId w:val="1008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10.0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9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numPr>
          <w:ilvl w:val="0"/>
          <w:numId w:val="1009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9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numPr>
          <w:ilvl w:val="0"/>
          <w:numId w:val="1009"/>
        </w:numPr>
      </w:pPr>
      <w:r>
        <w:t xml:space="preserve">H340</w:t>
      </w:r>
      <w:r>
        <w:t xml:space="preserve"> </w:t>
      </w:r>
      <w:r>
        <w:t xml:space="preserve">Peut induire des anomalies génétiques.</w:t>
      </w:r>
    </w:p>
    <w:p>
      <w:pPr>
        <w:numPr>
          <w:ilvl w:val="0"/>
          <w:numId w:val="1009"/>
        </w:numPr>
      </w:pPr>
      <w:r>
        <w:t xml:space="preserve">H350</w:t>
      </w:r>
      <w:r>
        <w:t xml:space="preserve"> </w:t>
      </w:r>
      <w:r>
        <w:t xml:space="preserve">Peut provoquer le cancer.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45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6">
        <w:r>
          <w:rPr>
            <w:rStyle w:val="Hyperlink"/>
            <w:color w:val="0856A0"/>
            <w:u w:val="single"/>
          </w:rPr>
          <w:t xml:space="preserve">Fiche n°322 - Solvants aliphatiques en C5-C9</w:t>
        </w:r>
      </w:hyperlink>
    </w:p>
    <w:p>
      <w:pPr>
        <w:numPr>
          <w:ilvl w:val="0"/>
          <w:numId w:val="1010"/>
        </w:numPr>
      </w:pPr>
      <w:hyperlink r:id="rId37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0"/>
        </w:numPr>
      </w:pPr>
      <w:hyperlink r:id="rId38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0"/>
        </w:numPr>
      </w:pPr>
      <w:hyperlink r:id="rId39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0"/>
        </w:numPr>
      </w:pPr>
      <w:hyperlink r:id="rId40">
        <w:r>
          <w:rPr>
            <w:rStyle w:val="Hyperlink"/>
            <w:color w:val="0856A0"/>
            <w:u w:val="single"/>
          </w:rPr>
          <w:t xml:space="preserve">Incendie - Explosion[10-12]</w:t>
        </w:r>
      </w:hyperlink>
    </w:p>
    <w:p>
      <w:pPr>
        <w:numPr>
          <w:ilvl w:val="0"/>
          <w:numId w:val="1010"/>
        </w:numPr>
      </w:pPr>
      <w:hyperlink r:id="rId41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0"/>
        </w:numPr>
      </w:pPr>
      <w:hyperlink r:id="rId42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0"/>
        </w:numPr>
      </w:pPr>
      <w:hyperlink r:id="rId43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0"/>
        </w:numPr>
      </w:pPr>
      <w:hyperlink r:id="rId44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5"/>
    <w:bookmarkEnd w:id="46"/>
    <w:bookmarkEnd w:id="47"/>
    <w:bookmarkStart w:id="48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/ protection de la peau / des mains • Matériau : caoutchouc nitrile.</w:t>
            </w:r>
            <w:r>
              <w:rPr>
                <w:sz w:val="20"/>
                <w:szCs w:val="20"/>
              </w:rPr>
              <w:t xml:space="preserve">• Épaisseur 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pas de données disponibles</w:t>
            </w:r>
            <w:r>
              <w:rPr>
                <w:sz w:val="20"/>
                <w:szCs w:val="20"/>
              </w:rPr>
              <w:t xml:space="preserve">.</w:t>
            </w:r>
            <w:r>
              <w:rPr>
                <w:sz w:val="20"/>
                <w:szCs w:val="20"/>
              </w:rPr>
              <w:t xml:space="preserve">• Temps de pénétration :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pas de données disponibles</w:t>
            </w:r>
            <w:r>
              <w:rPr>
                <w:sz w:val="20"/>
                <w:szCs w:val="20"/>
              </w:rPr>
              <w:t xml:space="preserve">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/ du visage • Écran total.</w:t>
            </w:r>
            <w:r>
              <w:rPr>
                <w:sz w:val="20"/>
                <w:szCs w:val="20"/>
              </w:rPr>
              <w:t xml:space="preserve">• Lunettes de protection ouvertes.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 Demi‑masque respiratoire ou masque complet pour vapeurs organiques.</w:t>
            </w:r>
            <w:r>
              <w:rPr>
                <w:sz w:val="20"/>
                <w:szCs w:val="20"/>
              </w:rPr>
              <w:t xml:space="preserve">• Demi‑masque respiratoire ou masque complet avec adduction d’air.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– Aucun vêtement ou combinaison spécifique n’est mentionné dans la section 8.</w:t>
            </w:r>
          </w:p>
        </w:tc>
      </w:tr>
    </w:tbl>
    <w:bookmarkEnd w:id="48"/>
    <w:bookmarkStart w:id="49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 : - Éviter l’inhalation des vapeurs pendant la polymérisation. - Ne pas utiliser en espace confiné ou insuffisamment aéré. - Tenir hors de portée des enfants. - Tenir à l’écart de la chaleur, des étincelles, des flammes nues et des surfaces chaudes. - Ne pas fumer. - Ne pas vaporiser sur une flamme nue ou sur toute autre source d’ignition. - Récipient sous pression : ne pas perforer, ni brûler, même après usage. - Ne pas respirer les poussières, fumées, gaz, brouillards, vapeurs, aérosols. - Éviter tout contact avec les yeux, la peau ou les vêtements. - Ne pas manger, ne pas boire et ne pas fumer pendant l’utilisation. - Se laver soigneusement après manipulation. - Éviter tout contact avec des agents oxydants (par ex. chlore, l’acide chromique, etc.).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Stocker dans un endroit bien ventilé. Maintenir le récipient fermé de manière étanche. Protéger du rayonnement solaire. Ne pas exposer à une température supérieure à 50 °C / 122 °F. Stocker à l’écart de la chaleur. Stocker à l’écart des acides. Stocker à l’écart des agents oxydants.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Lubrifiant Silicone</w:t>
            </w:r>
          </w:p>
        </w:tc>
      </w:tr>
    </w:tbl>
    <w:bookmarkEnd w:id="49"/>
    <w:bookmarkEnd w:id="50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36" Type="http://schemas.openxmlformats.org/officeDocument/2006/relationships/hyperlink" Target="https://www.inrs.fr/publications/bdd/fichetox/fiche.html?refINRS=FICHETOX_322" TargetMode="External"/><Relationship Id="rId39" Type="http://schemas.openxmlformats.org/officeDocument/2006/relationships/hyperlink" Target="https://www.inrs.fr/publications/bdd/fichetox/fiche.html?refINRS=FICHETOX_322&amp;section=VLEPMesurage" TargetMode="External"/><Relationship Id="rId44" Type="http://schemas.openxmlformats.org/officeDocument/2006/relationships/hyperlink" Target="https://www.inrs.fr/publications/bdd/fichetox/fiche.html?refINRS=FICHETOX_322&amp;section=bibliographieAuteurs" TargetMode="External"/><Relationship Id="rId38" Type="http://schemas.openxmlformats.org/officeDocument/2006/relationships/hyperlink" Target="https://www.inrs.fr/publications/bdd/fichetox/fiche.html?refINRS=FICHETOX_322&amp;section=caracteristiques" TargetMode="External"/><Relationship Id="rId37" Type="http://schemas.openxmlformats.org/officeDocument/2006/relationships/hyperlink" Target="https://www.inrs.fr/publications/bdd/fichetox/fiche.html?refINRS=FICHETOX_322&amp;section=generalites" TargetMode="External"/><Relationship Id="rId40" Type="http://schemas.openxmlformats.org/officeDocument/2006/relationships/hyperlink" Target="https://www.inrs.fr/publications/bdd/fichetox/fiche.html?refINRS=FICHETOX_322&amp;section=incendieExplosion" TargetMode="External"/><Relationship Id="rId41" Type="http://schemas.openxmlformats.org/officeDocument/2006/relationships/hyperlink" Target="https://www.inrs.fr/publications/bdd/fichetox/fiche.html?refINRS=FICHETOX_322&amp;section=pathologieToxicologie" TargetMode="External"/><Relationship Id="rId43" Type="http://schemas.openxmlformats.org/officeDocument/2006/relationships/hyperlink" Target="https://www.inrs.fr/publications/bdd/fichetox/fiche.html?refINRS=FICHETOX_322&amp;section=recommandations" TargetMode="External"/><Relationship Id="rId42" Type="http://schemas.openxmlformats.org/officeDocument/2006/relationships/hyperlink" Target="https://www.inrs.fr/publications/bdd/fichetox/fiche.html?refINRS=FICHETOX_322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36" Type="http://schemas.openxmlformats.org/officeDocument/2006/relationships/hyperlink" Target="https://www.inrs.fr/publications/bdd/fichetox/fiche.html?refINRS=FICHETOX_322" TargetMode="External"/><Relationship Id="rId39" Type="http://schemas.openxmlformats.org/officeDocument/2006/relationships/hyperlink" Target="https://www.inrs.fr/publications/bdd/fichetox/fiche.html?refINRS=FICHETOX_322&amp;section=VLEPMesurage" TargetMode="External"/><Relationship Id="rId44" Type="http://schemas.openxmlformats.org/officeDocument/2006/relationships/hyperlink" Target="https://www.inrs.fr/publications/bdd/fichetox/fiche.html?refINRS=FICHETOX_322&amp;section=bibliographieAuteurs" TargetMode="External"/><Relationship Id="rId38" Type="http://schemas.openxmlformats.org/officeDocument/2006/relationships/hyperlink" Target="https://www.inrs.fr/publications/bdd/fichetox/fiche.html?refINRS=FICHETOX_322&amp;section=caracteristiques" TargetMode="External"/><Relationship Id="rId37" Type="http://schemas.openxmlformats.org/officeDocument/2006/relationships/hyperlink" Target="https://www.inrs.fr/publications/bdd/fichetox/fiche.html?refINRS=FICHETOX_322&amp;section=generalites" TargetMode="External"/><Relationship Id="rId40" Type="http://schemas.openxmlformats.org/officeDocument/2006/relationships/hyperlink" Target="https://www.inrs.fr/publications/bdd/fichetox/fiche.html?refINRS=FICHETOX_322&amp;section=incendieExplosion" TargetMode="External"/><Relationship Id="rId41" Type="http://schemas.openxmlformats.org/officeDocument/2006/relationships/hyperlink" Target="https://www.inrs.fr/publications/bdd/fichetox/fiche.html?refINRS=FICHETOX_322&amp;section=pathologieToxicologie" TargetMode="External"/><Relationship Id="rId43" Type="http://schemas.openxmlformats.org/officeDocument/2006/relationships/hyperlink" Target="https://www.inrs.fr/publications/bdd/fichetox/fiche.html?refINRS=FICHETOX_322&amp;section=recommandations" TargetMode="External"/><Relationship Id="rId42" Type="http://schemas.openxmlformats.org/officeDocument/2006/relationships/hyperlink" Target="https://www.inrs.fr/publications/bdd/fichetox/fiche.html?refINRS=FICHETOX_322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2026-04-02T13:58:40Z</dcterms:created>
  <dcterms:modified xsi:type="dcterms:W3CDTF">2026-04-02T13:58:40Z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