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arecaltopcleanwaterloo-llnok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Reca Belux S.A.-N.V.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arecaltopcleanwaterloo-llnok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2" w:name="Xaf31e77578d5723d3ef4bbee1ededb2cee7c5f4"/>
    <w:p>
      <w:pPr>
        <w:pStyle w:val="Heading1"/>
      </w:pPr>
      <w:r>
        <w:t xml:space="preserve">Analyse des dangers : arecaltopcleanwaterloo-llnok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arecaltopcleanwaterloo-llnok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Reca Belux S.A.-N.V.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dispersé en suspension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2017-10-27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2017-10-27.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</w:t>
      </w:r>
    </w:p>
    <w:p>
      <w:pPr>
        <w:pStyle w:val="Compact"/>
        <w:numPr>
          <w:ilvl w:val="0"/>
          <w:numId w:val="1005"/>
        </w:numPr>
      </w:pPr>
      <w:r>
        <w:t xml:space="preserve">RID : 2</w:t>
      </w:r>
    </w:p>
    <w:p>
      <w:pPr>
        <w:pStyle w:val="Compact"/>
        <w:numPr>
          <w:ilvl w:val="0"/>
          <w:numId w:val="1005"/>
        </w:numPr>
      </w:pPr>
      <w:r>
        <w:t xml:space="preserve">ADN : 2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Enlever les vêtements contaminés et les laver avant réutilisation.</w:t>
      </w:r>
      <w:r>
        <w:t xml:space="preserve"> </w:t>
      </w:r>
      <w:r>
        <w:t xml:space="preserve">- Laver immédiatement la zone touchée à l’eau et au savon.</w:t>
      </w:r>
      <w:r>
        <w:t xml:space="preserve"> </w:t>
      </w:r>
      <w:r>
        <w:t xml:space="preserve">- En cas d’irritation persistante, consulter un médecin.</w:t>
      </w:r>
    </w:p>
    <w:p>
      <w:pPr>
        <w:pStyle w:val="BodyText"/>
      </w:pPr>
      <w:r>
        <w:t xml:space="preserve">eyes : - Rincer avec précaution à l’eau pendant plusieurs minutes.</w:t>
      </w:r>
      <w:r>
        <w:t xml:space="preserve"> </w:t>
      </w:r>
      <w:r>
        <w:t xml:space="preserve">- Enlever les lentilles de contact si la victime en porte et si elles peuvent être facilement enlevées.</w:t>
      </w:r>
      <w:r>
        <w:t xml:space="preserve"> </w:t>
      </w:r>
      <w:r>
        <w:t xml:space="preserve">- Si l’irritation oculaire persiste, consulter un médecin.</w:t>
      </w:r>
    </w:p>
    <w:p>
      <w:pPr>
        <w:pStyle w:val="BodyText"/>
      </w:pPr>
      <w:r>
        <w:t xml:space="preserve">ingestion : - Appeler aussitôt un médecin.</w:t>
      </w:r>
      <w:r>
        <w:t xml:space="preserve"> </w:t>
      </w:r>
      <w:r>
        <w:t xml:space="preserve">- Ne pas faire vomir.</w:t>
      </w:r>
    </w:p>
    <w:p>
      <w:pPr>
        <w:pStyle w:val="BodyText"/>
      </w:pPr>
      <w:r>
        <w:t xml:space="preserve">inhalation : - Assurer un apport d’air frais.</w:t>
      </w:r>
      <w:r>
        <w:t xml:space="preserve"> </w:t>
      </w:r>
      <w:r>
        <w:t xml:space="preserve">- En cas de malaises, se rendre chez le médecin.</w:t>
      </w:r>
    </w:p>
    <w:p>
      <w:r>
        <w:br w:type="page"/>
      </w:r>
    </w:p>
    <w:bookmarkEnd w:id="40"/>
    <w:bookmarkStart w:id="6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f60fcafe10914decb9d6fa089dce8043e293546"/>
    <w:p>
      <w:pPr>
        <w:pStyle w:val="Heading3"/>
      </w:pPr>
      <w:r>
        <w:t xml:space="preserve">Hydrocarbures, C6-C7, n-alcanes, iso-alcanes, cycliques, &lt; 5% 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921-024-6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Xe60c78f5032d791129f3c65b2679269e2c63cb2"/>
    <w:p>
      <w:pPr>
        <w:pStyle w:val="Heading3"/>
      </w:pPr>
      <w:r>
        <w:t xml:space="preserve">Hydrocarbures, C7, n-alcanes, iso-alcanes, cycliques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None</w:t>
      </w:r>
    </w:p>
    <w:p>
      <w:pPr>
        <w:pStyle w:val="Compact"/>
        <w:numPr>
          <w:ilvl w:val="0"/>
          <w:numId w:val="1008"/>
        </w:numPr>
      </w:pPr>
      <w:r>
        <w:t xml:space="preserve">N° EINECS : 927-510-4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9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orangé-doux-extrait"/>
    <w:p>
      <w:pPr>
        <w:pStyle w:val="Heading3"/>
      </w:pPr>
      <w:r>
        <w:t xml:space="preserve">Orangé doux, Extrait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8028-48-6</w:t>
      </w:r>
    </w:p>
    <w:p>
      <w:pPr>
        <w:pStyle w:val="Compact"/>
        <w:numPr>
          <w:ilvl w:val="0"/>
          <w:numId w:val="1010"/>
        </w:numPr>
      </w:pPr>
      <w:r>
        <w:t xml:space="preserve">N° EINECS : 232-433-8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57" w:name="propane-2-ol"/>
    <w:p>
      <w:pPr>
        <w:pStyle w:val="Heading3"/>
      </w:pPr>
      <w:r>
        <w:t xml:space="preserve">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67-63-0</w:t>
      </w:r>
    </w:p>
    <w:p>
      <w:pPr>
        <w:pStyle w:val="Compact"/>
        <w:numPr>
          <w:ilvl w:val="0"/>
          <w:numId w:val="1012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7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4"/>
        </w:numPr>
      </w:pPr>
      <w:hyperlink r:id="rId4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51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6"/>
    <w:bookmarkEnd w:id="57"/>
    <w:bookmarkStart w:id="68" w:name="dioxyde-de-carbone"/>
    <w:p>
      <w:pPr>
        <w:pStyle w:val="Heading3"/>
      </w:pPr>
      <w:r>
        <w:t xml:space="preserve">Dioxyde de carbone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124-38-9</w:t>
      </w:r>
    </w:p>
    <w:p>
      <w:pPr>
        <w:pStyle w:val="Compact"/>
        <w:numPr>
          <w:ilvl w:val="0"/>
          <w:numId w:val="1015"/>
        </w:numPr>
      </w:pPr>
      <w:r>
        <w:t xml:space="preserve">N° EINECS : 204-696-9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H281</w:t>
      </w:r>
      <w:r>
        <w:t xml:space="preserve"> </w:t>
      </w:r>
      <w:r>
        <w:t xml:space="preserve">Contient un gaz réfrigéré; peut causer des brûlures ou blessures cryogéniques.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5000.0 - VLE-8h (mg/m³) : 9131.0 - VLE-15min (ppm) : 30000.0 - VLE-15min (mg/m³) : 54784.0</w:t>
            </w:r>
          </w:p>
        </w:tc>
      </w:tr>
    </w:tbl>
    <w:bookmarkStart w:id="67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8">
        <w:r>
          <w:rPr>
            <w:rStyle w:val="Hyperlink"/>
            <w:color w:val="0856A0"/>
            <w:u w:val="single"/>
          </w:rPr>
          <w:t xml:space="preserve">Fiche n°238 - Dioxyde de carbone</w:t>
        </w:r>
      </w:hyperlink>
    </w:p>
    <w:p>
      <w:pPr>
        <w:numPr>
          <w:ilvl w:val="0"/>
          <w:numId w:val="1017"/>
        </w:numPr>
      </w:pPr>
      <w:hyperlink r:id="rId5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6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6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62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7"/>
        </w:numPr>
      </w:pPr>
      <w:hyperlink r:id="rId6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6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6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6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7"/>
    <w:bookmarkEnd w:id="68"/>
    <w:bookmarkEnd w:id="69"/>
    <w:bookmarkStart w:id="7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Gants en caoutchouc butyle d’épaisseur : 0,7 mm. Résistance à la pénétration &gt; 480 min (durée de perçage). EN 374‑1/2/‑3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Lunettes à protection complète, adaptées à la manipulation de produits chimiques. EN 166:2001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Non indispensable sous des conditions normales (aucune combinaison spécifique mentionnée).</w:t>
            </w:r>
          </w:p>
        </w:tc>
      </w:tr>
    </w:tbl>
    <w:bookmarkEnd w:id="70"/>
    <w:bookmarkStart w:id="7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uniquement dans des zones bien ventilées. - Utiliser un appareillage résistant aux solvants. - Tenir à l’écart de sources d’inflammation. - Ne pas vaporiser vers une flamme ou un corps incandescent. - Conserver à l’écart de toute flamme ou source d’étincelles – Ne pas fumer. - Ne pas manger, boire, fumer, priser sur le lieu de travail. - Avant les pauses et avant de quitter le travail, se laver les mains. - Protéger la peau en appliquant une pommade. - Enlever les vêtements contaminés et les laver avant réutilisation.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 : - Prévoir un sol étanche et résistant aux solvants. - Empêcher les infiltrations dans le sol. - Ne pas stocker avec des agents oxydants. - Conserver les récipients dans un endroit bien ventilé. - Stocker au frais ; l’échauffement entraîne une augmentation de la pression avec risque d’éclatement. - Récipient sous pression : à protéger contre les rayons solaires et à ne pas exposer à une température supérieure à 50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nettoyage.</w:t>
            </w:r>
          </w:p>
        </w:tc>
      </w:tr>
    </w:tbl>
    <w:bookmarkEnd w:id="71"/>
    <w:bookmarkEnd w:id="7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8" Type="http://schemas.openxmlformats.org/officeDocument/2006/relationships/hyperlink" Target="https://www.inrs.fr/publications/bdd/fichetox/fiche.html?refINRS=FICHETOX_238" TargetMode="External"/><Relationship Id="rId61" Type="http://schemas.openxmlformats.org/officeDocument/2006/relationships/hyperlink" Target="https://www.inrs.fr/publications/bdd/fichetox/fiche.html?refINRS=FICHETOX_238&amp;section=VLEPMesurage" TargetMode="External"/><Relationship Id="rId66" Type="http://schemas.openxmlformats.org/officeDocument/2006/relationships/hyperlink" Target="https://www.inrs.fr/publications/bdd/fichetox/fiche.html?refINRS=FICHETOX_238&amp;section=bibliographieAuteurs" TargetMode="External"/><Relationship Id="rId60" Type="http://schemas.openxmlformats.org/officeDocument/2006/relationships/hyperlink" Target="https://www.inrs.fr/publications/bdd/fichetox/fiche.html?refINRS=FICHETOX_238&amp;section=caracteristiques" TargetMode="External"/><Relationship Id="rId59" Type="http://schemas.openxmlformats.org/officeDocument/2006/relationships/hyperlink" Target="https://www.inrs.fr/publications/bdd/fichetox/fiche.html?refINRS=FICHETOX_238&amp;section=generalites" TargetMode="External"/><Relationship Id="rId62" Type="http://schemas.openxmlformats.org/officeDocument/2006/relationships/hyperlink" Target="https://www.inrs.fr/publications/bdd/fichetox/fiche.html?refINRS=FICHETOX_238&amp;section=incendieExplosion" TargetMode="External"/><Relationship Id="rId63" Type="http://schemas.openxmlformats.org/officeDocument/2006/relationships/hyperlink" Target="https://www.inrs.fr/publications/bdd/fichetox/fiche.html?refINRS=FICHETOX_238&amp;section=pathologieToxicologie" TargetMode="External"/><Relationship Id="rId65" Type="http://schemas.openxmlformats.org/officeDocument/2006/relationships/hyperlink" Target="https://www.inrs.fr/publications/bdd/fichetox/fiche.html?refINRS=FICHETOX_238&amp;section=recommandations" TargetMode="External"/><Relationship Id="rId64" Type="http://schemas.openxmlformats.org/officeDocument/2006/relationships/hyperlink" Target="https://www.inrs.fr/publications/bdd/fichetox/fiche.html?refINRS=FICHETOX_238&amp;section=reglementation" TargetMode="External"/><Relationship Id="rId47" Type="http://schemas.openxmlformats.org/officeDocument/2006/relationships/hyperlink" Target="https://www.inrs.fr/publications/bdd/fichetox/fiche.html?refINRS=FICHETOX_66" TargetMode="External"/><Relationship Id="rId50" Type="http://schemas.openxmlformats.org/officeDocument/2006/relationships/hyperlink" Target="https://www.inrs.fr/publications/bdd/fichetox/fiche.html?refINRS=FICHETOX_66&amp;section=VLEPMesurage" TargetMode="External"/><Relationship Id="rId55" Type="http://schemas.openxmlformats.org/officeDocument/2006/relationships/hyperlink" Target="https://www.inrs.fr/publications/bdd/fichetox/fiche.html?refINRS=FICHETOX_66&amp;section=bibliographieAuteurs" TargetMode="External"/><Relationship Id="rId49" Type="http://schemas.openxmlformats.org/officeDocument/2006/relationships/hyperlink" Target="https://www.inrs.fr/publications/bdd/fichetox/fiche.html?refINRS=FICHETOX_66&amp;section=caracteristiques" TargetMode="External"/><Relationship Id="rId48" Type="http://schemas.openxmlformats.org/officeDocument/2006/relationships/hyperlink" Target="https://www.inrs.fr/publications/bdd/fichetox/fiche.html?refINRS=FICHETOX_66&amp;section=generalites" TargetMode="External"/><Relationship Id="rId51" Type="http://schemas.openxmlformats.org/officeDocument/2006/relationships/hyperlink" Target="https://www.inrs.fr/publications/bdd/fichetox/fiche.html?refINRS=FICHETOX_66&amp;section=incendieExplosion" TargetMode="External"/><Relationship Id="rId52" Type="http://schemas.openxmlformats.org/officeDocument/2006/relationships/hyperlink" Target="https://www.inrs.fr/publications/bdd/fichetox/fiche.html?refINRS=FICHETOX_66&amp;section=pathologieToxicologie" TargetMode="External"/><Relationship Id="rId54" Type="http://schemas.openxmlformats.org/officeDocument/2006/relationships/hyperlink" Target="https://www.inrs.fr/publications/bdd/fichetox/fiche.html?refINRS=FICHETOX_66&amp;section=recommandations" TargetMode="External"/><Relationship Id="rId53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8" Type="http://schemas.openxmlformats.org/officeDocument/2006/relationships/hyperlink" Target="https://www.inrs.fr/publications/bdd/fichetox/fiche.html?refINRS=FICHETOX_238" TargetMode="External"/><Relationship Id="rId61" Type="http://schemas.openxmlformats.org/officeDocument/2006/relationships/hyperlink" Target="https://www.inrs.fr/publications/bdd/fichetox/fiche.html?refINRS=FICHETOX_238&amp;section=VLEPMesurage" TargetMode="External"/><Relationship Id="rId66" Type="http://schemas.openxmlformats.org/officeDocument/2006/relationships/hyperlink" Target="https://www.inrs.fr/publications/bdd/fichetox/fiche.html?refINRS=FICHETOX_238&amp;section=bibliographieAuteurs" TargetMode="External"/><Relationship Id="rId60" Type="http://schemas.openxmlformats.org/officeDocument/2006/relationships/hyperlink" Target="https://www.inrs.fr/publications/bdd/fichetox/fiche.html?refINRS=FICHETOX_238&amp;section=caracteristiques" TargetMode="External"/><Relationship Id="rId59" Type="http://schemas.openxmlformats.org/officeDocument/2006/relationships/hyperlink" Target="https://www.inrs.fr/publications/bdd/fichetox/fiche.html?refINRS=FICHETOX_238&amp;section=generalites" TargetMode="External"/><Relationship Id="rId62" Type="http://schemas.openxmlformats.org/officeDocument/2006/relationships/hyperlink" Target="https://www.inrs.fr/publications/bdd/fichetox/fiche.html?refINRS=FICHETOX_238&amp;section=incendieExplosion" TargetMode="External"/><Relationship Id="rId63" Type="http://schemas.openxmlformats.org/officeDocument/2006/relationships/hyperlink" Target="https://www.inrs.fr/publications/bdd/fichetox/fiche.html?refINRS=FICHETOX_238&amp;section=pathologieToxicologie" TargetMode="External"/><Relationship Id="rId65" Type="http://schemas.openxmlformats.org/officeDocument/2006/relationships/hyperlink" Target="https://www.inrs.fr/publications/bdd/fichetox/fiche.html?refINRS=FICHETOX_238&amp;section=recommandations" TargetMode="External"/><Relationship Id="rId64" Type="http://schemas.openxmlformats.org/officeDocument/2006/relationships/hyperlink" Target="https://www.inrs.fr/publications/bdd/fichetox/fiche.html?refINRS=FICHETOX_238&amp;section=reglementation" TargetMode="External"/><Relationship Id="rId47" Type="http://schemas.openxmlformats.org/officeDocument/2006/relationships/hyperlink" Target="https://www.inrs.fr/publications/bdd/fichetox/fiche.html?refINRS=FICHETOX_66" TargetMode="External"/><Relationship Id="rId50" Type="http://schemas.openxmlformats.org/officeDocument/2006/relationships/hyperlink" Target="https://www.inrs.fr/publications/bdd/fichetox/fiche.html?refINRS=FICHETOX_66&amp;section=VLEPMesurage" TargetMode="External"/><Relationship Id="rId55" Type="http://schemas.openxmlformats.org/officeDocument/2006/relationships/hyperlink" Target="https://www.inrs.fr/publications/bdd/fichetox/fiche.html?refINRS=FICHETOX_66&amp;section=bibliographieAuteurs" TargetMode="External"/><Relationship Id="rId49" Type="http://schemas.openxmlformats.org/officeDocument/2006/relationships/hyperlink" Target="https://www.inrs.fr/publications/bdd/fichetox/fiche.html?refINRS=FICHETOX_66&amp;section=caracteristiques" TargetMode="External"/><Relationship Id="rId48" Type="http://schemas.openxmlformats.org/officeDocument/2006/relationships/hyperlink" Target="https://www.inrs.fr/publications/bdd/fichetox/fiche.html?refINRS=FICHETOX_66&amp;section=generalites" TargetMode="External"/><Relationship Id="rId51" Type="http://schemas.openxmlformats.org/officeDocument/2006/relationships/hyperlink" Target="https://www.inrs.fr/publications/bdd/fichetox/fiche.html?refINRS=FICHETOX_66&amp;section=incendieExplosion" TargetMode="External"/><Relationship Id="rId52" Type="http://schemas.openxmlformats.org/officeDocument/2006/relationships/hyperlink" Target="https://www.inrs.fr/publications/bdd/fichetox/fiche.html?refINRS=FICHETOX_66&amp;section=pathologieToxicologie" TargetMode="External"/><Relationship Id="rId54" Type="http://schemas.openxmlformats.org/officeDocument/2006/relationships/hyperlink" Target="https://www.inrs.fr/publications/bdd/fichetox/fiche.html?refINRS=FICHETOX_66&amp;section=recommandations" TargetMode="External"/><Relationship Id="rId53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2026-04-02T14:15:19Z</dcterms:created>
  <dcterms:modified xsi:type="dcterms:W3CDTF">2026-04-02T14:15:19Z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