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certified-klawlobwok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certified-klawlobwok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analyse-des-dangers-certified-klawlobwok"/>
    <w:p>
      <w:pPr>
        <w:pStyle w:val="Heading1"/>
      </w:pPr>
      <w:r>
        <w:t xml:space="preserve">Analyse des dangers : certified-klawlobwok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certified-klawlobwok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clair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solvanté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2017-05-30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2017-05-30.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UN3082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et du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Faire appel à une assistance médicale si une irritation persiste.</w:t>
      </w:r>
    </w:p>
    <w:p>
      <w:pPr>
        <w:pStyle w:val="BodyText"/>
      </w:pPr>
      <w:r>
        <w:t xml:space="preserve">eyes : Rincer immédiatement avec beaucoup d’eau pendant au moins 15 minutes.</w:t>
      </w:r>
      <w:r>
        <w:t xml:space="preserve"> </w:t>
      </w:r>
      <w:r>
        <w:t xml:space="preserve">Faire appel à une assistance médicale en cas d’irritation persistante.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Faire immédiatement appel à une assistance médicale.</w:t>
      </w:r>
    </w:p>
    <w:p>
      <w:pPr>
        <w:pStyle w:val="BodyText"/>
      </w:pPr>
      <w:r>
        <w:t xml:space="preserve">inhalation : Retirer la personne de la zone contaminée et l’amener à l’air frais.</w:t>
      </w:r>
      <w:r>
        <w:t xml:space="preserve"> </w:t>
      </w:r>
      <w:r>
        <w:t xml:space="preserve">Consulter un médecin si une irritation ou une difficulté à respirer apparaît.</w:t>
      </w:r>
      <w:r>
        <w:t xml:space="preserve"> </w:t>
      </w:r>
      <w:r>
        <w:t xml:space="preserve">En cas d’exposition à de fortes concentrations de vapeur ou brouillard, aller immédiatement à l’air libre.</w:t>
      </w:r>
    </w:p>
    <w:p>
      <w:r>
        <w:br w:type="page"/>
      </w:r>
    </w:p>
    <w:bookmarkEnd w:id="40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hydrocarbons-c12-c15-alkanes"/>
    <w:p>
      <w:pPr>
        <w:pStyle w:val="Heading3"/>
      </w:pPr>
      <w:r>
        <w:t xml:space="preserve">HYDROCARBONS, C12-C15, ALKANES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64742-47-8</w:t>
      </w:r>
    </w:p>
    <w:p>
      <w:pPr>
        <w:pStyle w:val="Compact"/>
        <w:numPr>
          <w:ilvl w:val="0"/>
          <w:numId w:val="1006"/>
        </w:numPr>
      </w:pPr>
      <w:r>
        <w:t xml:space="preserve">N° EINECS : 265-149-8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dipropylene-glycol-methyl-ether"/>
    <w:p>
      <w:pPr>
        <w:pStyle w:val="Heading3"/>
      </w:pPr>
      <w:r>
        <w:t xml:space="preserve">DIPROPYLENE GLYCOL METHYL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34590-94-8</w:t>
      </w:r>
    </w:p>
    <w:p>
      <w:pPr>
        <w:pStyle w:val="Compact"/>
        <w:numPr>
          <w:ilvl w:val="0"/>
          <w:numId w:val="1008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Start w:id="55" w:name="citrus-terpenes"/>
    <w:p>
      <w:pPr>
        <w:pStyle w:val="Heading3"/>
      </w:pPr>
      <w:r>
        <w:t xml:space="preserve">CITRUS TERPENES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8028-48-6</w:t>
      </w:r>
    </w:p>
    <w:p>
      <w:pPr>
        <w:pStyle w:val="Compact"/>
        <w:numPr>
          <w:ilvl w:val="0"/>
          <w:numId w:val="1010"/>
        </w:numPr>
      </w:pPr>
      <w:r>
        <w:t xml:space="preserve">N° EINECS : 232-433-8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1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4"/>
    <w:bookmarkEnd w:id="55"/>
    <w:bookmarkStart w:id="57" w:name="c12--c13-primary-alcohol-blend"/>
    <w:p>
      <w:pPr>
        <w:pStyle w:val="Heading3"/>
      </w:pPr>
      <w:r>
        <w:t xml:space="preserve">C12- C13 PRIMARY ALCOHOL BLEND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67762-41-8</w:t>
      </w:r>
    </w:p>
    <w:p>
      <w:pPr>
        <w:pStyle w:val="Compact"/>
        <w:numPr>
          <w:ilvl w:val="0"/>
          <w:numId w:val="1012"/>
        </w:numPr>
      </w:pPr>
      <w:r>
        <w:t xml:space="preserve">N° EINECS : 267-019-6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6"/>
    <w:bookmarkEnd w:id="57"/>
    <w:bookmarkStart w:id="59" w:name="alcohols-c12-c15-ethoxylated"/>
    <w:p>
      <w:pPr>
        <w:pStyle w:val="Heading3"/>
      </w:pPr>
      <w:r>
        <w:t xml:space="preserve">Alcohols, C12-C15, ethoxylated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68131-39-5</w:t>
      </w:r>
    </w:p>
    <w:p>
      <w:pPr>
        <w:pStyle w:val="Compact"/>
        <w:numPr>
          <w:ilvl w:val="0"/>
          <w:numId w:val="1014"/>
        </w:numPr>
      </w:pPr>
      <w:r>
        <w:t xml:space="preserve">N° EINECS : 500-195-7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 à la norme EN 374.</w:t>
            </w:r>
            <w:r>
              <w:rPr>
                <w:sz w:val="20"/>
                <w:szCs w:val="20"/>
              </w:rPr>
              <w:t xml:space="preserve">• Type recommandé : gants résistants aux solvants (caoutchouc butyle, caoutchouc fluoré, alcool de polyvinyle).</w:t>
            </w:r>
            <w:r>
              <w:rPr>
                <w:sz w:val="20"/>
                <w:szCs w:val="20"/>
              </w:rPr>
              <w:t xml:space="preserve">• Temps de passage minimal de la matière constitutive du gant : &gt; 480 min (niveau de performance 6)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sécurité avec protections latérales, conformes à la norme EN 166.</w:t>
            </w:r>
            <w:r>
              <w:rPr>
                <w:sz w:val="20"/>
                <w:szCs w:val="20"/>
              </w:rPr>
              <w:t xml:space="preserve">• En cas de volumes importants, un écran facial doit être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 à la norme EN 374.</w:t>
            </w:r>
            <w:r>
              <w:rPr>
                <w:sz w:val="20"/>
                <w:szCs w:val="20"/>
              </w:rPr>
              <w:t xml:space="preserve">• Type recommandé : gants résistants aux solvants (caoutchouc butyle, caoutchouc fluoré, alcool de polyvinyle).</w:t>
            </w:r>
            <w:r>
              <w:rPr>
                <w:sz w:val="20"/>
                <w:szCs w:val="20"/>
              </w:rPr>
              <w:t xml:space="preserve">• Temps de passage minimal de la matière constitutive du gant : &gt; 480 min (niveau de performance 6)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Masque ou respirateur individuel conforme à la norme EN 141 (vapeurs organiques).</w:t>
            </w:r>
            <w:r>
              <w:rPr>
                <w:sz w:val="20"/>
                <w:szCs w:val="20"/>
              </w:rPr>
              <w:t xml:space="preserve">• En présence de brouillages, projections ou aérosols, porter également une combinaison de protection appropriée.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Utiliser une combinaison de protection adaptée (conforme aux exigences de la directive 89/686/EEC).</w:t>
            </w:r>
            <w:r>
              <w:rPr>
                <w:sz w:val="20"/>
                <w:szCs w:val="20"/>
              </w:rPr>
              <w:t xml:space="preserve">• La combinaison doit être compatible avec la protection respiratoire et les gants décrits ci-dessus.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le contact avec la peau, les yeux et les vêtements. Utiliser un équipement de protection individuelle (voir chapitres 7 et 8). Éviter de respirer les vapeurs ou le brouillard. Ne pas manger, boire ou fumer en manipulant ce produit. Assurer une ventilation adéquate. Toute personne ayant des antécédents de sensibilisation cutanée à l’une des substances de ce produit, devrait s’abstenir de le manipuler.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 conteneur original. Garder les récipients bien fermés dans un endroit sec,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solvanté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330" TargetMode="External"/><Relationship Id="rId46" Type="http://schemas.openxmlformats.org/officeDocument/2006/relationships/hyperlink" Target="https://www.inrs.fr/publications/bdd/fichetox/fiche.html?refINRS=FICHETOX_330&amp;section=VLEPMesurage" TargetMode="External"/><Relationship Id="rId51" Type="http://schemas.openxmlformats.org/officeDocument/2006/relationships/hyperlink" Target="https://www.inrs.fr/publications/bdd/fichetox/fiche.html?refINRS=FICHETOX_330&amp;section=bibliographieAuteurs" TargetMode="External"/><Relationship Id="rId45" Type="http://schemas.openxmlformats.org/officeDocument/2006/relationships/hyperlink" Target="https://www.inrs.fr/publications/bdd/fichetox/fiche.html?refINRS=FICHETOX_330&amp;section=caracteristiques" TargetMode="External"/><Relationship Id="rId44" Type="http://schemas.openxmlformats.org/officeDocument/2006/relationships/hyperlink" Target="https://www.inrs.fr/publications/bdd/fichetox/fiche.html?refINRS=FICHETOX_330&amp;section=generalites" TargetMode="External"/><Relationship Id="rId47" Type="http://schemas.openxmlformats.org/officeDocument/2006/relationships/hyperlink" Target="https://www.inrs.fr/publications/bdd/fichetox/fiche.html?refINRS=FICHETOX_330&amp;section=incendieExplosion" TargetMode="External"/><Relationship Id="rId48" Type="http://schemas.openxmlformats.org/officeDocument/2006/relationships/hyperlink" Target="https://www.inrs.fr/publications/bdd/fichetox/fiche.html?refINRS=FICHETOX_330&amp;section=pathologieToxicologie" TargetMode="External"/><Relationship Id="rId50" Type="http://schemas.openxmlformats.org/officeDocument/2006/relationships/hyperlink" Target="https://www.inrs.fr/publications/bdd/fichetox/fiche.html?refINRS=FICHETOX_330&amp;section=recommandations" TargetMode="External"/><Relationship Id="rId49" Type="http://schemas.openxmlformats.org/officeDocument/2006/relationships/hyperlink" Target="https://www.inrs.fr/publications/bdd/fichetox/fiche.html?refINRS=FICHETOX_3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330" TargetMode="External"/><Relationship Id="rId46" Type="http://schemas.openxmlformats.org/officeDocument/2006/relationships/hyperlink" Target="https://www.inrs.fr/publications/bdd/fichetox/fiche.html?refINRS=FICHETOX_330&amp;section=VLEPMesurage" TargetMode="External"/><Relationship Id="rId51" Type="http://schemas.openxmlformats.org/officeDocument/2006/relationships/hyperlink" Target="https://www.inrs.fr/publications/bdd/fichetox/fiche.html?refINRS=FICHETOX_330&amp;section=bibliographieAuteurs" TargetMode="External"/><Relationship Id="rId45" Type="http://schemas.openxmlformats.org/officeDocument/2006/relationships/hyperlink" Target="https://www.inrs.fr/publications/bdd/fichetox/fiche.html?refINRS=FICHETOX_330&amp;section=caracteristiques" TargetMode="External"/><Relationship Id="rId44" Type="http://schemas.openxmlformats.org/officeDocument/2006/relationships/hyperlink" Target="https://www.inrs.fr/publications/bdd/fichetox/fiche.html?refINRS=FICHETOX_330&amp;section=generalites" TargetMode="External"/><Relationship Id="rId47" Type="http://schemas.openxmlformats.org/officeDocument/2006/relationships/hyperlink" Target="https://www.inrs.fr/publications/bdd/fichetox/fiche.html?refINRS=FICHETOX_330&amp;section=incendieExplosion" TargetMode="External"/><Relationship Id="rId48" Type="http://schemas.openxmlformats.org/officeDocument/2006/relationships/hyperlink" Target="https://www.inrs.fr/publications/bdd/fichetox/fiche.html?refINRS=FICHETOX_330&amp;section=pathologieToxicologie" TargetMode="External"/><Relationship Id="rId50" Type="http://schemas.openxmlformats.org/officeDocument/2006/relationships/hyperlink" Target="https://www.inrs.fr/publications/bdd/fichetox/fiche.html?refINRS=FICHETOX_330&amp;section=recommandations" TargetMode="External"/><Relationship Id="rId49" Type="http://schemas.openxmlformats.org/officeDocument/2006/relationships/hyperlink" Target="https://www.inrs.fr/publications/bdd/fichetox/fiche.html?refINRS=FICHETOX_3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2026-04-02T14:24:14Z</dcterms:created>
  <dcterms:modified xsi:type="dcterms:W3CDTF">2026-04-02T14:24:14Z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