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certified-nowaerosoltubok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certified-nowaerosoltubok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60" w:name="X719210e626a2208672b7adc6243c77897dfec60"/>
    <w:p>
      <w:pPr>
        <w:pStyle w:val="Heading1"/>
      </w:pPr>
      <w:r>
        <w:t xml:space="preserve">Analyse des dangers : certified-nowaerosoltubok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certified-nowaerosoltubok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2019-01-21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2019-01-21.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Le pH du produit impose la classification H314.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Le produit doit avoir la classification supplémentaire [</w:t>
      </w:r>
      <w:r>
        <w:t xml:space="preserve">‘</w:t>
      </w:r>
      <w:r>
        <w:t xml:space="preserve">H314</w:t>
      </w:r>
      <w:r>
        <w:t xml:space="preserve">’</w:t>
      </w:r>
      <w:r>
        <w:t xml:space="preserve">].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numPr>
          <w:ilvl w:val="0"/>
          <w:numId w:val="1004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4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5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5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5"/>
        </w:numPr>
      </w:pPr>
      <w:r>
        <w:t xml:space="preserve">P337</w:t>
      </w:r>
      <w:r>
        <w:t xml:space="preserve"> </w:t>
      </w:r>
      <w:r>
        <w:t xml:space="preserve">Si l’irritation oculaire persiste:</w:t>
      </w:r>
    </w:p>
    <w:p>
      <w:pPr>
        <w:numPr>
          <w:ilvl w:val="0"/>
          <w:numId w:val="1005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2.2</w:t>
      </w:r>
    </w:p>
    <w:p>
      <w:pPr>
        <w:pStyle w:val="Compact"/>
        <w:numPr>
          <w:ilvl w:val="0"/>
          <w:numId w:val="1006"/>
        </w:numPr>
      </w:pPr>
      <w:r>
        <w:t xml:space="preserve">RID : 2.2</w:t>
      </w:r>
    </w:p>
    <w:p>
      <w:pPr>
        <w:pStyle w:val="Compact"/>
        <w:numPr>
          <w:ilvl w:val="0"/>
          <w:numId w:val="1006"/>
        </w:numPr>
      </w:pPr>
      <w:r>
        <w:t xml:space="preserve">ADN : pas disponible</w:t>
      </w:r>
    </w:p>
    <w:p>
      <w:pPr>
        <w:pStyle w:val="Compact"/>
        <w:numPr>
          <w:ilvl w:val="0"/>
          <w:numId w:val="1006"/>
        </w:numPr>
      </w:pPr>
      <w:r>
        <w:t xml:space="preserve">IMDG : 2.2</w:t>
      </w:r>
    </w:p>
    <w:p>
      <w:pPr>
        <w:pStyle w:val="Compact"/>
        <w:numPr>
          <w:ilvl w:val="0"/>
          <w:numId w:val="1006"/>
        </w:numPr>
      </w:pPr>
      <w:r>
        <w:t xml:space="preserve">IATA : 2.2</w:t>
      </w:r>
    </w:p>
    <w:p>
      <w:pPr>
        <w:pStyle w:val="Compact"/>
        <w:numPr>
          <w:ilvl w:val="0"/>
          <w:numId w:val="1006"/>
        </w:numPr>
      </w:pPr>
      <w:r>
        <w:t xml:space="preserve">UN : UN1950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et abondamment avec de l’eau et du savon.</w:t>
      </w:r>
      <w:r>
        <w:t xml:space="preserve"> </w:t>
      </w:r>
      <w:r>
        <w:t xml:space="preserve">Enlever les vêtements contaminés et les chaussures.</w:t>
      </w:r>
      <w:r>
        <w:t xml:space="preserve"> </w:t>
      </w:r>
      <w:r>
        <w:t xml:space="preserve">Consulter un médecin si irritation persiste.</w:t>
      </w:r>
    </w:p>
    <w:p>
      <w:pPr>
        <w:pStyle w:val="BodyText"/>
      </w:pPr>
      <w:r>
        <w:t xml:space="preserve">eyes : Rincer immédiatement avec beaucoup d’eau pendant au moins 15 minutes.</w:t>
      </w:r>
      <w:r>
        <w:t xml:space="preserve"> </w:t>
      </w:r>
      <w:r>
        <w:t xml:space="preserve">Consulter un médecin si irritation persiste.</w:t>
      </w:r>
    </w:p>
    <w:p>
      <w:pPr>
        <w:pStyle w:val="BodyText"/>
      </w:pPr>
      <w:r>
        <w:t xml:space="preserve">ingestion : Se rincer la bouche à l’eau.</w:t>
      </w:r>
      <w:r>
        <w:t xml:space="preserve"> </w:t>
      </w:r>
      <w:r>
        <w:t xml:space="preserve">Consulter immédiatement un médecin et montrer l’emballage ou l’étiquette.</w:t>
      </w:r>
      <w:r>
        <w:t xml:space="preserve"> </w:t>
      </w:r>
      <w:r>
        <w:t xml:space="preserve">Ne pas faire vomir.</w:t>
      </w:r>
    </w:p>
    <w:p>
      <w:pPr>
        <w:pStyle w:val="BodyText"/>
      </w:pPr>
      <w:r>
        <w:t xml:space="preserve">inhalation : Aller à l’air libre.</w:t>
      </w:r>
      <w:r>
        <w:t xml:space="preserve"> </w:t>
      </w:r>
      <w:r>
        <w:t xml:space="preserve">Consulter un médecin si irritation ou difficulté à respirer.</w:t>
      </w:r>
    </w:p>
    <w:p>
      <w:r>
        <w:br w:type="page"/>
      </w:r>
    </w:p>
    <w:bookmarkEnd w:id="37"/>
    <w:bookmarkStart w:id="57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isobutane"/>
    <w:p>
      <w:pPr>
        <w:pStyle w:val="Heading3"/>
      </w:pPr>
      <w:r>
        <w:t xml:space="preserve">ISOBUTANE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75-28-5</w:t>
      </w:r>
    </w:p>
    <w:p>
      <w:pPr>
        <w:pStyle w:val="Compact"/>
        <w:numPr>
          <w:ilvl w:val="0"/>
          <w:numId w:val="1007"/>
        </w:numPr>
      </w:pPr>
      <w:r>
        <w:t xml:space="preserve">N° EINECS : 200-857-2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8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Start w:id="50" w:name="monopropylene-glycol-methyl-ether"/>
    <w:p>
      <w:pPr>
        <w:pStyle w:val="Heading3"/>
      </w:pPr>
      <w:r>
        <w:t xml:space="preserve">MONOPROPYLENE GLYCOL METHYL ETHER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107-98-2</w:t>
      </w:r>
    </w:p>
    <w:p>
      <w:pPr>
        <w:pStyle w:val="Compact"/>
        <w:numPr>
          <w:ilvl w:val="0"/>
          <w:numId w:val="1009"/>
        </w:numPr>
      </w:pPr>
      <w:r>
        <w:t xml:space="preserve">N° EINECS : 203-539-1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10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184.0 - VLE-15min (ppm) : 100.0 - VLE-15min (mg/m³) : 369.0</w:t>
            </w:r>
          </w:p>
        </w:tc>
      </w:tr>
    </w:tbl>
    <w:bookmarkStart w:id="49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0">
        <w:r>
          <w:rPr>
            <w:rStyle w:val="Hyperlink"/>
            <w:color w:val="0856A0"/>
            <w:u w:val="single"/>
          </w:rPr>
          <w:t xml:space="preserve">Fiche n°221 - 1-Méthoxy-2-propanol et son acétate</w:t>
        </w:r>
      </w:hyperlink>
    </w:p>
    <w:p>
      <w:pPr>
        <w:numPr>
          <w:ilvl w:val="0"/>
          <w:numId w:val="1011"/>
        </w:numPr>
      </w:pPr>
      <w:hyperlink r:id="rId41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42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43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44">
        <w:r>
          <w:rPr>
            <w:rStyle w:val="Hyperlink"/>
            <w:color w:val="0856A0"/>
            <w:u w:val="single"/>
          </w:rPr>
          <w:t xml:space="preserve">Incendie - Explosion[1, 2, 14]</w:t>
        </w:r>
      </w:hyperlink>
    </w:p>
    <w:p>
      <w:pPr>
        <w:numPr>
          <w:ilvl w:val="0"/>
          <w:numId w:val="1011"/>
        </w:numPr>
      </w:pPr>
      <w:hyperlink r:id="rId45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46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47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48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9"/>
    <w:bookmarkEnd w:id="50"/>
    <w:bookmarkStart w:id="52" w:name="propane"/>
    <w:p>
      <w:pPr>
        <w:pStyle w:val="Heading3"/>
      </w:pPr>
      <w:r>
        <w:t xml:space="preserve">PROPANE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74-98-6</w:t>
      </w:r>
    </w:p>
    <w:p>
      <w:pPr>
        <w:pStyle w:val="Compact"/>
        <w:numPr>
          <w:ilvl w:val="0"/>
          <w:numId w:val="1012"/>
        </w:numPr>
      </w:pPr>
      <w:r>
        <w:t xml:space="preserve">N° EINECS : 200-827-9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3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51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1"/>
    <w:bookmarkEnd w:id="52"/>
    <w:bookmarkStart w:id="54" w:name="alkyldimethylbenzylammonium-chloride"/>
    <w:p>
      <w:pPr>
        <w:pStyle w:val="Heading3"/>
      </w:pPr>
      <w:r>
        <w:t xml:space="preserve">ALKYLDIMETHYLBENZYLAMMONIUM CHLORIDE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4"/>
        </w:numPr>
      </w:pPr>
      <w:r>
        <w:t xml:space="preserve">N° CAS : 68391-01-5</w:t>
      </w:r>
    </w:p>
    <w:p>
      <w:pPr>
        <w:pStyle w:val="Compact"/>
        <w:numPr>
          <w:ilvl w:val="0"/>
          <w:numId w:val="1014"/>
        </w:numPr>
      </w:pPr>
      <w:r>
        <w:t xml:space="preserve">N° EINECS : 269-919-4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0.3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5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5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5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5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3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3"/>
    <w:bookmarkEnd w:id="54"/>
    <w:bookmarkStart w:id="56" w:name="Xcbf1ab77d7205774bbcb34e5de39e3b31c030f7"/>
    <w:p>
      <w:pPr>
        <w:pStyle w:val="Heading3"/>
      </w:pPr>
      <w:r>
        <w:t xml:space="preserve">ALKYL DIMETHYL ETHYLBENZYL AMMONIUM CHLORIDE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6"/>
        </w:numPr>
      </w:pPr>
      <w:r>
        <w:t xml:space="preserve">N° CAS : 85409-23-0</w:t>
      </w:r>
    </w:p>
    <w:p>
      <w:pPr>
        <w:pStyle w:val="Compact"/>
        <w:numPr>
          <w:ilvl w:val="0"/>
          <w:numId w:val="1016"/>
        </w:numPr>
      </w:pPr>
      <w:r>
        <w:t xml:space="preserve">N° EINECS : 287-090-7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0.3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7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7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5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5"/>
    <w:bookmarkEnd w:id="56"/>
    <w:bookmarkEnd w:id="57"/>
    <w:bookmarkStart w:id="58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Conformité : norme EN 374.</w:t>
            </w:r>
            <w:r>
              <w:rPr>
                <w:sz w:val="20"/>
                <w:szCs w:val="20"/>
              </w:rPr>
              <w:t xml:space="preserve">• Types suggérés 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 – Caoutchouc nitrile (épaisseur : 0,4 mm).</w:t>
            </w:r>
            <w:r>
              <w:rPr>
                <w:sz w:val="20"/>
                <w:szCs w:val="20"/>
              </w:rPr>
              <w:t xml:space="preserve"> – PVC (épaisseur : 0,7 mm).</w:t>
            </w:r>
            <w:r>
              <w:rPr>
                <w:sz w:val="20"/>
                <w:szCs w:val="20"/>
              </w:rPr>
              <w:t xml:space="preserve"> – Neoprène (épaisseur : 0,4 mm).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• Conformité : norme EN 166.</w:t>
            </w:r>
            <w:r>
              <w:rPr>
                <w:sz w:val="20"/>
                <w:szCs w:val="20"/>
              </w:rPr>
              <w:t xml:space="preserve">• Utilisation : lunettes de sécurité si la méthode d’utilisation peut entraîner un contact oculaire.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Conformité : norme EN 374.</w:t>
            </w:r>
            <w:r>
              <w:rPr>
                <w:sz w:val="20"/>
                <w:szCs w:val="20"/>
              </w:rPr>
              <w:t xml:space="preserve">• Types suggérés 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 – Caoutchouc nitrile (épaisseur : 0,4 mm).</w:t>
            </w:r>
            <w:r>
              <w:rPr>
                <w:sz w:val="20"/>
                <w:szCs w:val="20"/>
              </w:rPr>
              <w:t xml:space="preserve"> – PVC (épaisseur : 0,7 mm).</w:t>
            </w:r>
            <w:r>
              <w:rPr>
                <w:sz w:val="20"/>
                <w:szCs w:val="20"/>
              </w:rPr>
              <w:t xml:space="preserve"> – Neoprène (épaisseur : 0,4 mm).</w:t>
            </w:r>
            <w:r>
              <w:rPr>
                <w:sz w:val="20"/>
                <w:szCs w:val="20"/>
              </w:rPr>
              <w:t xml:space="preserve">• Durabilité et résistance à la température et aux agents chimiques dépendent de la fréquence, durée de contact, température et agents chimiques.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Conformité : EN 14387 (vapeurs organiques).</w:t>
            </w:r>
            <w:r>
              <w:rPr>
                <w:sz w:val="20"/>
                <w:szCs w:val="20"/>
              </w:rPr>
              <w:t xml:space="preserve">• Port obligatoire lorsque les travailleurs sont confrontés à des concentrations supérieures aux limites d’exposition et que la ventilation du local est insuffisante.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Utilisation recommandée pour éviter le contact avec la peau, les yeux et les vêtements.</w:t>
            </w:r>
          </w:p>
        </w:tc>
      </w:tr>
    </w:tbl>
    <w:bookmarkEnd w:id="58"/>
    <w:bookmarkStart w:id="59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Éviter le contact avec la peau, les yeux et les vêtements. Éviter de respirer les vapeurs ou le brouillard. Ne pas manger, boire ou fumer en manipulant ce produit. Tenir à l’abri des flammes nues, des surfaces chaudes et des sources d’inflammation. Assurer une ventilation adéquate.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Les conditions de stockage sûr sont: - Les bidons doivent être entreposés séparément, dans des enceintes fermées. - Le récipient est sous pression ; il faut le protéger contre les rayons solaires et ne pas l’exposer à une température supérieure à 50 °C.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Nettoyant.</w:t>
            </w:r>
          </w:p>
        </w:tc>
      </w:tr>
    </w:tbl>
    <w:bookmarkEnd w:id="59"/>
    <w:bookmarkEnd w:id="60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0" Type="http://schemas.openxmlformats.org/officeDocument/2006/relationships/hyperlink" Target="https://www.inrs.fr/publications/bdd/fichetox/fiche.html?refINRS=FICHETOX_221" TargetMode="External"/><Relationship Id="rId43" Type="http://schemas.openxmlformats.org/officeDocument/2006/relationships/hyperlink" Target="https://www.inrs.fr/publications/bdd/fichetox/fiche.html?refINRS=FICHETOX_221&amp;section=VLEPMesurage" TargetMode="External"/><Relationship Id="rId48" Type="http://schemas.openxmlformats.org/officeDocument/2006/relationships/hyperlink" Target="https://www.inrs.fr/publications/bdd/fichetox/fiche.html?refINRS=FICHETOX_221&amp;section=bibliographieAuteurs" TargetMode="External"/><Relationship Id="rId42" Type="http://schemas.openxmlformats.org/officeDocument/2006/relationships/hyperlink" Target="https://www.inrs.fr/publications/bdd/fichetox/fiche.html?refINRS=FICHETOX_221&amp;section=caracteristiques" TargetMode="External"/><Relationship Id="rId41" Type="http://schemas.openxmlformats.org/officeDocument/2006/relationships/hyperlink" Target="https://www.inrs.fr/publications/bdd/fichetox/fiche.html?refINRS=FICHETOX_221&amp;section=generalites" TargetMode="External"/><Relationship Id="rId44" Type="http://schemas.openxmlformats.org/officeDocument/2006/relationships/hyperlink" Target="https://www.inrs.fr/publications/bdd/fichetox/fiche.html?refINRS=FICHETOX_221&amp;section=incendieExplosion" TargetMode="External"/><Relationship Id="rId45" Type="http://schemas.openxmlformats.org/officeDocument/2006/relationships/hyperlink" Target="https://www.inrs.fr/publications/bdd/fichetox/fiche.html?refINRS=FICHETOX_221&amp;section=pathologieToxicologie" TargetMode="External"/><Relationship Id="rId47" Type="http://schemas.openxmlformats.org/officeDocument/2006/relationships/hyperlink" Target="https://www.inrs.fr/publications/bdd/fichetox/fiche.html?refINRS=FICHETOX_221&amp;section=recommandations" TargetMode="External"/><Relationship Id="rId46" Type="http://schemas.openxmlformats.org/officeDocument/2006/relationships/hyperlink" Target="https://www.inrs.fr/publications/bdd/fichetox/fiche.html?refINRS=FICHETOX_221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0" Type="http://schemas.openxmlformats.org/officeDocument/2006/relationships/hyperlink" Target="https://www.inrs.fr/publications/bdd/fichetox/fiche.html?refINRS=FICHETOX_221" TargetMode="External"/><Relationship Id="rId43" Type="http://schemas.openxmlformats.org/officeDocument/2006/relationships/hyperlink" Target="https://www.inrs.fr/publications/bdd/fichetox/fiche.html?refINRS=FICHETOX_221&amp;section=VLEPMesurage" TargetMode="External"/><Relationship Id="rId48" Type="http://schemas.openxmlformats.org/officeDocument/2006/relationships/hyperlink" Target="https://www.inrs.fr/publications/bdd/fichetox/fiche.html?refINRS=FICHETOX_221&amp;section=bibliographieAuteurs" TargetMode="External"/><Relationship Id="rId42" Type="http://schemas.openxmlformats.org/officeDocument/2006/relationships/hyperlink" Target="https://www.inrs.fr/publications/bdd/fichetox/fiche.html?refINRS=FICHETOX_221&amp;section=caracteristiques" TargetMode="External"/><Relationship Id="rId41" Type="http://schemas.openxmlformats.org/officeDocument/2006/relationships/hyperlink" Target="https://www.inrs.fr/publications/bdd/fichetox/fiche.html?refINRS=FICHETOX_221&amp;section=generalites" TargetMode="External"/><Relationship Id="rId44" Type="http://schemas.openxmlformats.org/officeDocument/2006/relationships/hyperlink" Target="https://www.inrs.fr/publications/bdd/fichetox/fiche.html?refINRS=FICHETOX_221&amp;section=incendieExplosion" TargetMode="External"/><Relationship Id="rId45" Type="http://schemas.openxmlformats.org/officeDocument/2006/relationships/hyperlink" Target="https://www.inrs.fr/publications/bdd/fichetox/fiche.html?refINRS=FICHETOX_221&amp;section=pathologieToxicologie" TargetMode="External"/><Relationship Id="rId47" Type="http://schemas.openxmlformats.org/officeDocument/2006/relationships/hyperlink" Target="https://www.inrs.fr/publications/bdd/fichetox/fiche.html?refINRS=FICHETOX_221&amp;section=recommandations" TargetMode="External"/><Relationship Id="rId46" Type="http://schemas.openxmlformats.org/officeDocument/2006/relationships/hyperlink" Target="https://www.inrs.fr/publications/bdd/fichetox/fiche.html?refINRS=FICHETOX_221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2026-04-02T14:31:39Z</dcterms:created>
  <dcterms:modified xsi:type="dcterms:W3CDTF">2026-04-02T14:31:39Z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