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certified-np1aerosolgrez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certified-np1aerosolgrez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8" w:name="X0972502682c1d914700eb9bd0eda37a408d4041"/>
    <w:p>
      <w:pPr>
        <w:pStyle w:val="Heading1"/>
      </w:pPr>
      <w:r>
        <w:t xml:space="preserve">Analyse des dangers : certified-np1aerosolgrez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certified-np1aerosolgrez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(visqueux)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(visqueux)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et Protecteur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2019-01-21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2019-01-21.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EUH066</w:t>
      </w:r>
      <w:r>
        <w:t xml:space="preserve"> </w:t>
      </w:r>
      <w:r>
        <w:t xml:space="preserve">L’exposition répétée peut provoquer dessèchement ou gerçures de la peau.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4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2.1</w:t>
      </w:r>
    </w:p>
    <w:p>
      <w:pPr>
        <w:pStyle w:val="Compact"/>
        <w:numPr>
          <w:ilvl w:val="0"/>
          <w:numId w:val="1005"/>
        </w:numPr>
      </w:pPr>
      <w:r>
        <w:t xml:space="preserve">RID : 2.1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2.1</w:t>
      </w:r>
    </w:p>
    <w:p>
      <w:pPr>
        <w:pStyle w:val="Compact"/>
        <w:numPr>
          <w:ilvl w:val="0"/>
          <w:numId w:val="1005"/>
        </w:numPr>
      </w:pPr>
      <w:r>
        <w:t xml:space="preserve">IATA : 2.1</w:t>
      </w:r>
    </w:p>
    <w:p>
      <w:pPr>
        <w:pStyle w:val="Compact"/>
        <w:numPr>
          <w:ilvl w:val="0"/>
          <w:numId w:val="1005"/>
        </w:numPr>
      </w:pPr>
      <w:r>
        <w:t xml:space="preserve">UN : UN1950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 | • Laver immédiatement et abondamment avec de l’eau et du savon.</w:t>
      </w:r>
      <w:r>
        <w:t xml:space="preserve">• Enlever les vêtements contaminés et les chaussures.</w:t>
      </w:r>
      <w:r>
        <w:t xml:space="preserve">• Faire appel à une assistance médicale si une irritation persiste.</w:t>
      </w:r>
    </w:p>
    <w:p>
      <w:pPr>
        <w:pStyle w:val="BodyText"/>
      </w:pPr>
      <w:r>
        <w:t xml:space="preserve">eyes : Contact avec les yeux | • Rincer immédiatement avec beaucoup d’eau pendant au moins 15 minutes.</w:t>
      </w:r>
      <w:r>
        <w:t xml:space="preserve">• Faire appel à une assistance médicale si une irritation persiste.</w:t>
      </w:r>
    </w:p>
    <w:p>
      <w:pPr>
        <w:pStyle w:val="BodyText"/>
      </w:pPr>
      <w:r>
        <w:t xml:space="preserve">ingestion : Ingestion | • Se rincer la bouche à l’eau.</w:t>
      </w:r>
      <w:r>
        <w:t xml:space="preserve">• Ne pas faire vomir.</w:t>
      </w:r>
      <w:r>
        <w:t xml:space="preserve">• Consulter un médecin.</w:t>
      </w:r>
    </w:p>
    <w:p>
      <w:pPr>
        <w:pStyle w:val="BodyText"/>
      </w:pPr>
      <w:r>
        <w:t xml:space="preserve">inhalation : Inhalation | • Si les troubles se prolongent, consulter un médecin.</w:t>
      </w:r>
      <w:r>
        <w:t xml:space="preserve">• En cas d’exposition à de fortes concentrations d’aérosols, aller à l’air libre.</w:t>
      </w:r>
    </w:p>
    <w:p>
      <w:r>
        <w:br w:type="page"/>
      </w:r>
    </w:p>
    <w:bookmarkEnd w:id="37"/>
    <w:bookmarkStart w:id="5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Xc7c1b3b996559dff0119ed0fefd2804d5dfb60e"/>
    <w:p>
      <w:pPr>
        <w:pStyle w:val="Heading3"/>
      </w:pPr>
      <w:r>
        <w:t xml:space="preserve">HYDROCARBONS, C7, N-ALKANES, ISOALKANES, CYCLICS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64742-49-0</w:t>
      </w:r>
    </w:p>
    <w:p>
      <w:pPr>
        <w:pStyle w:val="Compact"/>
        <w:numPr>
          <w:ilvl w:val="0"/>
          <w:numId w:val="1006"/>
        </w:numPr>
      </w:pPr>
      <w:r>
        <w:t xml:space="preserve">N° EINECS : 927-510-4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n°322 - Solvants aliphatiques en C5-C9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0" w:name="petrolatum-petroleum-clay-treated"/>
    <w:p>
      <w:pPr>
        <w:pStyle w:val="Heading3"/>
      </w:pPr>
      <w:r>
        <w:t xml:space="preserve">PETROLATUM (PETROLEUM) CLAY-TREATED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100684-33-1</w:t>
      </w:r>
    </w:p>
    <w:p>
      <w:pPr>
        <w:pStyle w:val="Compact"/>
        <w:numPr>
          <w:ilvl w:val="0"/>
          <w:numId w:val="1009"/>
        </w:numPr>
      </w:pPr>
      <w:r>
        <w:t xml:space="preserve">N° EINECS : 309-706-6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Start w:id="52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74-98-6</w:t>
      </w:r>
    </w:p>
    <w:p>
      <w:pPr>
        <w:pStyle w:val="Compact"/>
        <w:numPr>
          <w:ilvl w:val="0"/>
          <w:numId w:val="1010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51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1"/>
    <w:bookmarkEnd w:id="52"/>
    <w:bookmarkStart w:id="54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106-97-8</w:t>
      </w:r>
    </w:p>
    <w:p>
      <w:pPr>
        <w:pStyle w:val="Compact"/>
        <w:numPr>
          <w:ilvl w:val="0"/>
          <w:numId w:val="1012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53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3"/>
    <w:bookmarkEnd w:id="54"/>
    <w:bookmarkEnd w:id="55"/>
    <w:bookmarkStart w:id="5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 à la norme EN 374. • Types de gants suggérés :  – Gants résistants aux solvants (caoutchouc butyle).  – Caoutchouc fluoré.  – Alcool de polyvinyle. • La conformité et la durabilité d’un gant dépendent de facteurs d’utilisation tels que la fréquence et la durée de contact, la résistance à la température et aux agents chimiques. • Pour la durée d’utilisation des gants, se référer aux recommandations du fabricant.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• Utiliser des lunettes de sécurité si la méthode d’utilisation peut entraîner un contact oculaire. • Approuvé selon la norme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 à la norme EN 374. • Types de gants suggérés :  – Gants résistants aux solvants (caoutchouc butyle).  – Caoutchouc fluoré.  – Alcool de polyvinyle. • La conformité et la durabilité d’un gant dépendent de facteurs d’utilisation tels que la fréquence et la durée de contact, la résistance à la température et aux agents chimiques. • Pour la durée d’utilisation des gants, se référer aux recommandations du fabricant.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Lorsque la ventilation du local est insuffisante, porter un équipement de protection respiratoire. • Lorsque les travailleurs sont confrontés à des concentrations supérieures aux limites d’exposition, ils doivent porter des masques appropriés et agréés. • Conforme à EN 14387 (vapeurs organiques).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Aucun vêtement ou combinaison spécifique n’est mentionné dans la section 8.</w:t>
            </w:r>
          </w:p>
        </w:tc>
      </w:tr>
    </w:tbl>
    <w:bookmarkEnd w:id="56"/>
    <w:bookmarkStart w:id="5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de respirer les vapeurs ou le brouillard. - Ne pas manger, boire ou fumer en manipulant ce produit. - Tenir à l’abri des flammes nues, des surfaces chaudes et des sources d’inflammation. - Éviter l’accumulation de charges électrostatiques. -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 - Tenir à l’écart de la chaleur et des sources d’ignition. - Stocker conformément à la réglementation locale. - Pour de raisons de sécurité en cas d’incendie, les bidons doivent être entreposés séparément, dans des enceintes fermées. - Récipient sous pression. - A protéger contre les rayons solaires et à ne pas exposer à une température supérieure à 50 °C. - Tenir à l’abri des flammes nues, des surfaces chaudes et des sources d’inflammation. - Matières incompatibles : oxydants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et Protecteur</w:t>
            </w:r>
          </w:p>
        </w:tc>
      </w:tr>
    </w:tbl>
    <w:bookmarkEnd w:id="57"/>
    <w:bookmarkEnd w:id="5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322" TargetMode="External"/><Relationship Id="rId41" Type="http://schemas.openxmlformats.org/officeDocument/2006/relationships/hyperlink" Target="https://www.inrs.fr/publications/bdd/fichetox/fiche.html?refINRS=FICHETOX_322&amp;section=VLEPMesurage" TargetMode="External"/><Relationship Id="rId46" Type="http://schemas.openxmlformats.org/officeDocument/2006/relationships/hyperlink" Target="https://www.inrs.fr/publications/bdd/fichetox/fiche.html?refINRS=FICHETOX_322&amp;section=bibliographieAuteurs" TargetMode="External"/><Relationship Id="rId40" Type="http://schemas.openxmlformats.org/officeDocument/2006/relationships/hyperlink" Target="https://www.inrs.fr/publications/bdd/fichetox/fiche.html?refINRS=FICHETOX_322&amp;section=caracteristiques" TargetMode="External"/><Relationship Id="rId39" Type="http://schemas.openxmlformats.org/officeDocument/2006/relationships/hyperlink" Target="https://www.inrs.fr/publications/bdd/fichetox/fiche.html?refINRS=FICHETOX_322&amp;section=generalites" TargetMode="External"/><Relationship Id="rId42" Type="http://schemas.openxmlformats.org/officeDocument/2006/relationships/hyperlink" Target="https://www.inrs.fr/publications/bdd/fichetox/fiche.html?refINRS=FICHETOX_322&amp;section=incendieExplosion" TargetMode="External"/><Relationship Id="rId43" Type="http://schemas.openxmlformats.org/officeDocument/2006/relationships/hyperlink" Target="https://www.inrs.fr/publications/bdd/fichetox/fiche.html?refINRS=FICHETOX_322&amp;section=pathologieToxicologie" TargetMode="External"/><Relationship Id="rId45" Type="http://schemas.openxmlformats.org/officeDocument/2006/relationships/hyperlink" Target="https://www.inrs.fr/publications/bdd/fichetox/fiche.html?refINRS=FICHETOX_322&amp;section=recommandations" TargetMode="External"/><Relationship Id="rId44" Type="http://schemas.openxmlformats.org/officeDocument/2006/relationships/hyperlink" Target="https://www.inrs.fr/publications/bdd/fichetox/fiche.html?refINRS=FICHETOX_322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322" TargetMode="External"/><Relationship Id="rId41" Type="http://schemas.openxmlformats.org/officeDocument/2006/relationships/hyperlink" Target="https://www.inrs.fr/publications/bdd/fichetox/fiche.html?refINRS=FICHETOX_322&amp;section=VLEPMesurage" TargetMode="External"/><Relationship Id="rId46" Type="http://schemas.openxmlformats.org/officeDocument/2006/relationships/hyperlink" Target="https://www.inrs.fr/publications/bdd/fichetox/fiche.html?refINRS=FICHETOX_322&amp;section=bibliographieAuteurs" TargetMode="External"/><Relationship Id="rId40" Type="http://schemas.openxmlformats.org/officeDocument/2006/relationships/hyperlink" Target="https://www.inrs.fr/publications/bdd/fichetox/fiche.html?refINRS=FICHETOX_322&amp;section=caracteristiques" TargetMode="External"/><Relationship Id="rId39" Type="http://schemas.openxmlformats.org/officeDocument/2006/relationships/hyperlink" Target="https://www.inrs.fr/publications/bdd/fichetox/fiche.html?refINRS=FICHETOX_322&amp;section=generalites" TargetMode="External"/><Relationship Id="rId42" Type="http://schemas.openxmlformats.org/officeDocument/2006/relationships/hyperlink" Target="https://www.inrs.fr/publications/bdd/fichetox/fiche.html?refINRS=FICHETOX_322&amp;section=incendieExplosion" TargetMode="External"/><Relationship Id="rId43" Type="http://schemas.openxmlformats.org/officeDocument/2006/relationships/hyperlink" Target="https://www.inrs.fr/publications/bdd/fichetox/fiche.html?refINRS=FICHETOX_322&amp;section=pathologieToxicologie" TargetMode="External"/><Relationship Id="rId45" Type="http://schemas.openxmlformats.org/officeDocument/2006/relationships/hyperlink" Target="https://www.inrs.fr/publications/bdd/fichetox/fiche.html?refINRS=FICHETOX_322&amp;section=recommandations" TargetMode="External"/><Relationship Id="rId44" Type="http://schemas.openxmlformats.org/officeDocument/2006/relationships/hyperlink" Target="https://www.inrs.fr/publications/bdd/fichetox/fiche.html?refINRS=FICHETOX_322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2026-04-02T14:35:24Z</dcterms:created>
  <dcterms:modified xsi:type="dcterms:W3CDTF">2026-04-02T14:35:24Z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