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certified-shine-m-upaerosol103620v1tubize-jodoigneok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certified-shine-m-upaerosol103620v1tubize-jodoigneok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4" w:name="X15968613da3469e3bc8b58d458b18bb1af42845"/>
    <w:p>
      <w:pPr>
        <w:pStyle w:val="Heading1"/>
      </w:pPr>
      <w:r>
        <w:t xml:space="preserve">Analyse des dangers : certified-shine-m-upaerosol103620v1tubize-jodoigneok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certified-shine-m-upaerosol103620v1tubize-jodoigneok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 ; polissant.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2019-01-21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2019-01-21.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H229</w:t>
      </w:r>
      <w:r>
        <w:t xml:space="preserve"> </w:t>
      </w:r>
      <w:r>
        <w:t xml:space="preserve">Pressurised container: May burst if heated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P251</w:t>
      </w:r>
      <w:r>
        <w:t xml:space="preserve"> </w:t>
      </w:r>
      <w:r>
        <w:t xml:space="preserve">P251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P410+P412</w:t>
      </w:r>
      <w:r>
        <w:t xml:space="preserve"> </w:t>
      </w:r>
      <w:r>
        <w:t xml:space="preserve">Protéger du rayonnement solaire.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2.2</w:t>
      </w:r>
    </w:p>
    <w:p>
      <w:pPr>
        <w:pStyle w:val="Compact"/>
        <w:numPr>
          <w:ilvl w:val="0"/>
          <w:numId w:val="1005"/>
        </w:numPr>
      </w:pPr>
      <w:r>
        <w:t xml:space="preserve">RID : 2.2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2.2</w:t>
      </w:r>
    </w:p>
    <w:p>
      <w:pPr>
        <w:pStyle w:val="Compact"/>
        <w:numPr>
          <w:ilvl w:val="0"/>
          <w:numId w:val="1005"/>
        </w:numPr>
      </w:pPr>
      <w:r>
        <w:t xml:space="preserve">IATA : 2.2</w:t>
      </w:r>
    </w:p>
    <w:p>
      <w:pPr>
        <w:pStyle w:val="Compact"/>
        <w:numPr>
          <w:ilvl w:val="0"/>
          <w:numId w:val="1005"/>
        </w:numPr>
      </w:pPr>
      <w:r>
        <w:t xml:space="preserve">UN : UN1950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Rincer immédiatement avec beaucoup d’eau pendant au moins 15 minutes.</w:t>
      </w:r>
      <w:r>
        <w:t xml:space="preserve"> </w:t>
      </w:r>
      <w:r>
        <w:t xml:space="preserve">- Retirer les vêtements et chaussures contaminés.</w:t>
      </w:r>
      <w:r>
        <w:t xml:space="preserve"> </w:t>
      </w:r>
      <w:r>
        <w:t xml:space="preserve">- Faire appel à une assistance médicale si une irritation persiste.</w:t>
      </w:r>
    </w:p>
    <w:p>
      <w:pPr>
        <w:pStyle w:val="BodyText"/>
      </w:pPr>
      <w:r>
        <w:t xml:space="preserve">eyes : - Rincer immédiatement avec beaucoup d’eau pendant au moins 15 minutes.</w:t>
      </w:r>
      <w:r>
        <w:t xml:space="preserve"> </w:t>
      </w:r>
      <w:r>
        <w:t xml:space="preserve">- Faire appel à une assistance médicale si une irritation persiste.</w:t>
      </w:r>
    </w:p>
    <w:p>
      <w:pPr>
        <w:pStyle w:val="BodyText"/>
      </w:pPr>
      <w:r>
        <w:t xml:space="preserve">ingestion : - Se rincer la bouche à l’eau.</w:t>
      </w:r>
      <w:r>
        <w:t xml:space="preserve"> </w:t>
      </w:r>
      <w:r>
        <w:t xml:space="preserve">- En cas d’ingestion, consulter immédiatement un médecin et montrer l’emballage ou l’étiquette.</w:t>
      </w:r>
    </w:p>
    <w:p>
      <w:pPr>
        <w:pStyle w:val="BodyText"/>
      </w:pPr>
      <w:r>
        <w:t xml:space="preserve">inhalation :</w:t>
      </w:r>
      <w:r>
        <w:t xml:space="preserve"> </w:t>
      </w:r>
      <w:r>
        <w:rPr>
          <w:i/>
          <w:iCs/>
        </w:rPr>
        <w:t xml:space="preserve">Non précisé dans le document.</w:t>
      </w:r>
    </w:p>
    <w:p>
      <w:r>
        <w:br w:type="page"/>
      </w:r>
    </w:p>
    <w:bookmarkEnd w:id="37"/>
    <w:bookmarkStart w:id="5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106-97-8</w:t>
      </w:r>
    </w:p>
    <w:p>
      <w:pPr>
        <w:pStyle w:val="Compact"/>
        <w:numPr>
          <w:ilvl w:val="0"/>
          <w:numId w:val="1006"/>
        </w:numPr>
      </w:pPr>
      <w:r>
        <w:t xml:space="preserve">N° EINECS : 203-448-7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50" w:name="ammonia-solution"/>
    <w:p>
      <w:pPr>
        <w:pStyle w:val="Heading3"/>
      </w:pPr>
      <w:r>
        <w:t xml:space="preserve">AMMONIA SOLUTION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1336-21-6</w:t>
      </w:r>
    </w:p>
    <w:p>
      <w:pPr>
        <w:pStyle w:val="Compact"/>
        <w:numPr>
          <w:ilvl w:val="0"/>
          <w:numId w:val="1008"/>
        </w:numPr>
      </w:pPr>
      <w:r>
        <w:t xml:space="preserve">N° EINECS : 215-647-6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9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9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0">
        <w:r>
          <w:rPr>
            <w:rStyle w:val="Hyperlink"/>
            <w:color w:val="0856A0"/>
            <w:u w:val="single"/>
          </w:rPr>
          <w:t xml:space="preserve">Fiche n°16 - Ammoniac et solutions aqueuses</w:t>
        </w:r>
      </w:hyperlink>
    </w:p>
    <w:p>
      <w:pPr>
        <w:numPr>
          <w:ilvl w:val="0"/>
          <w:numId w:val="1010"/>
        </w:numPr>
      </w:pPr>
      <w:hyperlink r:id="rId4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0"/>
        </w:numPr>
      </w:pPr>
      <w:hyperlink r:id="rId4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0"/>
        </w:numPr>
      </w:pPr>
      <w:hyperlink r:id="rId4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0"/>
        </w:numPr>
      </w:pPr>
      <w:hyperlink r:id="rId44">
        <w:r>
          <w:rPr>
            <w:rStyle w:val="Hyperlink"/>
            <w:color w:val="0856A0"/>
            <w:u w:val="single"/>
          </w:rPr>
          <w:t xml:space="preserve">Incendie - Explosion[12]</w:t>
        </w:r>
      </w:hyperlink>
    </w:p>
    <w:p>
      <w:pPr>
        <w:numPr>
          <w:ilvl w:val="0"/>
          <w:numId w:val="1010"/>
        </w:numPr>
      </w:pPr>
      <w:hyperlink r:id="rId4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0"/>
        </w:numPr>
      </w:pPr>
      <w:hyperlink r:id="rId4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0"/>
        </w:numPr>
      </w:pPr>
      <w:hyperlink r:id="rId4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0"/>
        </w:numPr>
      </w:pPr>
      <w:hyperlink r:id="rId4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9"/>
    <w:bookmarkEnd w:id="50"/>
    <w:bookmarkEnd w:id="51"/>
    <w:bookmarkStart w:id="5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Conformité: norme EN 374.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Types suggérés: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Caoutchouc nitrile (épaisseur 0,4 mm)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PVC (épaisseur 0,7 mm)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Néoprène (épaisseur 0,4 mm)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Durabilité et résistance à la température et aux agents chimiques: dépend de la fréquence et de la durée d’utilisation, ainsi que de la température et des agents chimiques rencontrés.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d’utilisation: se référer aux recommandations du fabricant pour chaque type de gant.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Lunettes de sécurité conformes à la norme EN 166.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Utilisation recommandée si la méthode d’utilisation peut entraîner un contact oculaire.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• Conformité: norme EN 374.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Types suggérés: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Caoutchouc nitrile (épaisseur 0,4 mm)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PVC (épaisseur 0,7 mm)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 – Néoprène (épaisseur 0,4 mm)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Durabilité et résistance à la température et aux agents chimiques: dépend de la fréquence et de la durée d’utilisation, ainsi que de la température et des agents chimiques rencontrés.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d’utilisation: se référer aux recommandations du fabricant pour chaque type de gant.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 Masques ou équipements respiratoires appropriés et agréés, conformes à la norme EN 14387 (vapeurs organiques).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À porter lorsque les travailleurs sont confrontés à des concentrations supérieures aux limites d’exposition, ou lorsque la ventilation du local est insuffisante.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N/A</w:t>
            </w:r>
          </w:p>
        </w:tc>
      </w:tr>
    </w:tbl>
    <w:bookmarkEnd w:id="52"/>
    <w:bookmarkStart w:id="5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Éviter le contact avec la peau, les yeux et les vêtements. - Ne pas manger, boire ou fumer en manipulant ce produit. - Éviter de respirer les vapeurs ou le brouillard. - Assurer une ventilation adéquate. - Tenir à l’abri des flammes nues, des surfaces chaudes et des sources d’inflammation.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 : - Les bidons doivent être entreposés séparément, dans des enceintes fermées. - Le récipient est sous pression. - Le produit doit être protégé contre les rayons solaires et ne doit pas être exposé à une température supérieure à 50 °C.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Nettoyant ; polissant.</w:t>
            </w:r>
          </w:p>
        </w:tc>
      </w:tr>
    </w:tbl>
    <w:bookmarkEnd w:id="53"/>
    <w:bookmarkEnd w:id="5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0" Type="http://schemas.openxmlformats.org/officeDocument/2006/relationships/hyperlink" Target="https://www.inrs.fr/publications/bdd/fichetox/fiche.html?refINRS=FICHETOX_16" TargetMode="External"/><Relationship Id="rId43" Type="http://schemas.openxmlformats.org/officeDocument/2006/relationships/hyperlink" Target="https://www.inrs.fr/publications/bdd/fichetox/fiche.html?refINRS=FICHETOX_16&amp;section=VLEPMesurage" TargetMode="External"/><Relationship Id="rId48" Type="http://schemas.openxmlformats.org/officeDocument/2006/relationships/hyperlink" Target="https://www.inrs.fr/publications/bdd/fichetox/fiche.html?refINRS=FICHETOX_16&amp;section=bibliographieAuteurs" TargetMode="External"/><Relationship Id="rId42" Type="http://schemas.openxmlformats.org/officeDocument/2006/relationships/hyperlink" Target="https://www.inrs.fr/publications/bdd/fichetox/fiche.html?refINRS=FICHETOX_16&amp;section=caracteristiques" TargetMode="External"/><Relationship Id="rId41" Type="http://schemas.openxmlformats.org/officeDocument/2006/relationships/hyperlink" Target="https://www.inrs.fr/publications/bdd/fichetox/fiche.html?refINRS=FICHETOX_16&amp;section=generalites" TargetMode="External"/><Relationship Id="rId44" Type="http://schemas.openxmlformats.org/officeDocument/2006/relationships/hyperlink" Target="https://www.inrs.fr/publications/bdd/fichetox/fiche.html?refINRS=FICHETOX_16&amp;section=incendieExplosion" TargetMode="External"/><Relationship Id="rId45" Type="http://schemas.openxmlformats.org/officeDocument/2006/relationships/hyperlink" Target="https://www.inrs.fr/publications/bdd/fichetox/fiche.html?refINRS=FICHETOX_16&amp;section=pathologieToxicologie" TargetMode="External"/><Relationship Id="rId47" Type="http://schemas.openxmlformats.org/officeDocument/2006/relationships/hyperlink" Target="https://www.inrs.fr/publications/bdd/fichetox/fiche.html?refINRS=FICHETOX_16&amp;section=recommandations" TargetMode="External"/><Relationship Id="rId46" Type="http://schemas.openxmlformats.org/officeDocument/2006/relationships/hyperlink" Target="https://www.inrs.fr/publications/bdd/fichetox/fiche.html?refINRS=FICHETOX_1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0" Type="http://schemas.openxmlformats.org/officeDocument/2006/relationships/hyperlink" Target="https://www.inrs.fr/publications/bdd/fichetox/fiche.html?refINRS=FICHETOX_16" TargetMode="External"/><Relationship Id="rId43" Type="http://schemas.openxmlformats.org/officeDocument/2006/relationships/hyperlink" Target="https://www.inrs.fr/publications/bdd/fichetox/fiche.html?refINRS=FICHETOX_16&amp;section=VLEPMesurage" TargetMode="External"/><Relationship Id="rId48" Type="http://schemas.openxmlformats.org/officeDocument/2006/relationships/hyperlink" Target="https://www.inrs.fr/publications/bdd/fichetox/fiche.html?refINRS=FICHETOX_16&amp;section=bibliographieAuteurs" TargetMode="External"/><Relationship Id="rId42" Type="http://schemas.openxmlformats.org/officeDocument/2006/relationships/hyperlink" Target="https://www.inrs.fr/publications/bdd/fichetox/fiche.html?refINRS=FICHETOX_16&amp;section=caracteristiques" TargetMode="External"/><Relationship Id="rId41" Type="http://schemas.openxmlformats.org/officeDocument/2006/relationships/hyperlink" Target="https://www.inrs.fr/publications/bdd/fichetox/fiche.html?refINRS=FICHETOX_16&amp;section=generalites" TargetMode="External"/><Relationship Id="rId44" Type="http://schemas.openxmlformats.org/officeDocument/2006/relationships/hyperlink" Target="https://www.inrs.fr/publications/bdd/fichetox/fiche.html?refINRS=FICHETOX_16&amp;section=incendieExplosion" TargetMode="External"/><Relationship Id="rId45" Type="http://schemas.openxmlformats.org/officeDocument/2006/relationships/hyperlink" Target="https://www.inrs.fr/publications/bdd/fichetox/fiche.html?refINRS=FICHETOX_16&amp;section=pathologieToxicologie" TargetMode="External"/><Relationship Id="rId47" Type="http://schemas.openxmlformats.org/officeDocument/2006/relationships/hyperlink" Target="https://www.inrs.fr/publications/bdd/fichetox/fiche.html?refINRS=FICHETOX_16&amp;section=recommandations" TargetMode="External"/><Relationship Id="rId46" Type="http://schemas.openxmlformats.org/officeDocument/2006/relationships/hyperlink" Target="https://www.inrs.fr/publications/bdd/fichetox/fiche.html?refINRS=FICHETOX_1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2026-04-02T14:38:13Z</dcterms:created>
  <dcterms:modified xsi:type="dcterms:W3CDTF">2026-04-02T14:38:13Z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