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4" Type="http://schemas.openxmlformats.org/officeDocument/2006/relationships/extended-properties" Target="docProps/app.xml"/><Relationship Id="rId3" Type="http://schemas.openxmlformats.org/package/2006/relationships/metadata/core-properties" Target="docProps/core.xml"/><Relationship Id="rId5" Type="http://schemas.openxmlformats.org/officeDocument/2006/relationships/custom-properties" Target="docProps/custom.xml"/></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sdt>
      <w:sdtPr>
        <w:docPartObj>
          <w:docPartGallery w:val="Table of Contents"/>
          <w:docPartUnique/>
        </w:docPartObj>
      </w:sdtPr>
      <w:sdtContent>
        <w:p>
          <w:pPr>
            <w:pStyle w:val="TOCHeading"/>
          </w:pPr>
          <w:r>
            <w:t xml:space="preserve">Table of Contents</w:t>
          </w:r>
        </w:p>
        <w:p>
          <w:r>
            <w:fldChar w:fldCharType="begin" w:dirty="true"/>
            <w:instrText xml:space="preserve">TOC \o "1-3" \h \z \u</w:instrText>
            <w:fldChar w:fldCharType="separate"/>
            <w:fldChar w:fldCharType="end"/>
          </w:r>
        </w:p>
      </w:sdtContent>
    </w:sdt>
    <w:p>
      <w:r>
        <w:br w:type="page"/>
      </w:r>
    </w:p>
    <w:tbl>
      <w:tblPr>
        <w:tblStyle w:val="TableGrid"/>
        <w:tblW w:type="pct" w:w="5000"/>
        <w:jc w:val="left"/>
        <w:tblLayout w:type="autofit"/>
        <w:tblLook w:firstRow="1" w:lastRow="0" w:firstColumn="0" w:lastColumn="0" w:noHBand="0" w:noVBand="1" w:val="000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960"/>
        <w:gridCol w:w="3960"/>
      </w:tblGrid>
      <w:tr>
        <w:tc>
          <w:tcPr/>
          <w:p>
            <w:pPr>
              <w:pStyle w:val="Compact"/>
              <w:rPr>
                <w:sz w:val="20"/>
                <w:szCs w:val="20"/>
              </w:rPr>
            </w:pPr>
            <w:r>
              <w:rPr>
                <w:sz w:val="20"/>
                <w:szCs w:val="20"/>
              </w:rPr>
              <w:t xml:space="preserve">Tilte</w:t>
            </w:r>
          </w:p>
        </w:tc>
        <w:tc>
          <w:tcPr/>
          <w:p>
            <w:pPr>
              <w:pStyle w:val="Compact"/>
              <w:rPr>
                <w:sz w:val="20"/>
                <w:szCs w:val="20"/>
              </w:rPr>
            </w:pPr>
            <w:r>
              <w:rPr>
                <w:sz w:val="20"/>
                <w:szCs w:val="20"/>
              </w:rPr>
              <w:t xml:space="preserve">EmilIA – Analyse des dangers du produit certified-typhoonbw-wat-tubok</w:t>
            </w:r>
          </w:p>
        </w:tc>
      </w:tr>
      <w:tr>
        <w:tc>
          <w:tcPr/>
          <w:p>
            <w:pPr>
              <w:pStyle w:val="Compact"/>
              <w:rPr>
                <w:sz w:val="20"/>
                <w:szCs w:val="20"/>
              </w:rPr>
            </w:pPr>
            <w:r>
              <w:rPr>
                <w:sz w:val="20"/>
                <w:szCs w:val="20"/>
              </w:rPr>
              <w:t xml:space="preserve">Company</w:t>
            </w:r>
          </w:p>
        </w:tc>
        <w:tc>
          <w:tcPr/>
          <w:p>
            <w:pPr>
              <w:pStyle w:val="Compact"/>
              <w:rPr>
                <w:sz w:val="20"/>
                <w:szCs w:val="20"/>
              </w:rPr>
            </w:pPr>
            <w:r>
              <w:rPr>
                <w:sz w:val="20"/>
                <w:szCs w:val="20"/>
              </w:rPr>
              <w:t xml:space="preserve">NCH Belgium Inc.</w:t>
            </w:r>
          </w:p>
        </w:tc>
      </w:tr>
      <w:tr>
        <w:tc>
          <w:tcPr/>
          <w:p>
            <w:pPr>
              <w:pStyle w:val="Compact"/>
              <w:rPr>
                <w:sz w:val="20"/>
                <w:szCs w:val="20"/>
              </w:rPr>
            </w:pPr>
            <w:r>
              <w:rPr>
                <w:sz w:val="20"/>
                <w:szCs w:val="20"/>
              </w:rPr>
              <w:t xml:space="preserve">Date</w:t>
            </w:r>
          </w:p>
        </w:tc>
        <w:tc>
          <w:tcPr/>
          <w:p>
            <w:pPr>
              <w:pStyle w:val="Compact"/>
              <w:rPr>
                <w:sz w:val="20"/>
                <w:szCs w:val="20"/>
              </w:rPr>
            </w:pPr>
            <w:r>
              <w:rPr>
                <w:sz w:val="20"/>
                <w:szCs w:val="20"/>
              </w:rPr>
              <w:t xml:space="preserve">2026-04-02</w:t>
            </w:r>
          </w:p>
        </w:tc>
      </w:tr>
      <w:tr>
        <w:tc>
          <w:tcPr/>
          <w:p>
            <w:pPr>
              <w:pStyle w:val="Compact"/>
              <w:rPr>
                <w:sz w:val="20"/>
                <w:szCs w:val="20"/>
              </w:rPr>
            </w:pPr>
            <w:r>
              <w:rPr>
                <w:sz w:val="20"/>
                <w:szCs w:val="20"/>
              </w:rPr>
              <w:t xml:space="preserve">Version</w:t>
            </w:r>
          </w:p>
        </w:tc>
        <w:tc>
          <w:tcPr/>
          <w:p>
            <w:pPr>
              <w:pStyle w:val="Compact"/>
              <w:rPr>
                <w:sz w:val="20"/>
                <w:szCs w:val="20"/>
              </w:rPr>
            </w:pPr>
            <w:r>
              <w:rPr>
                <w:sz w:val="20"/>
                <w:szCs w:val="20"/>
              </w:rPr>
              <w:t xml:space="preserve">Rev0</w:t>
            </w:r>
          </w:p>
        </w:tc>
      </w:tr>
      <w:tr>
        <w:tc>
          <w:tcPr/>
          <w:p>
            <w:pPr>
              <w:pStyle w:val="Compact"/>
              <w:rPr>
                <w:sz w:val="20"/>
                <w:szCs w:val="20"/>
              </w:rPr>
            </w:pPr>
            <w:r>
              <w:rPr>
                <w:sz w:val="20"/>
                <w:szCs w:val="20"/>
              </w:rPr>
              <w:t xml:space="preserve">Auteur</w:t>
            </w:r>
          </w:p>
        </w:tc>
        <w:tc>
          <w:tcPr/>
          <w:p>
            <w:pPr>
              <w:pStyle w:val="Compact"/>
              <w:rPr>
                <w:sz w:val="20"/>
                <w:szCs w:val="20"/>
              </w:rPr>
            </w:pPr>
            <w:r>
              <w:rPr>
                <w:sz w:val="20"/>
                <w:szCs w:val="20"/>
              </w:rPr>
              <w:t xml:space="preserve">Emilia 0.6.0</w:t>
            </w:r>
          </w:p>
        </w:tc>
      </w:tr>
      <w:tr>
        <w:tc>
          <w:tcPr/>
          <w:p>
            <w:pPr>
              <w:pStyle w:val="Compact"/>
              <w:rPr>
                <w:sz w:val="20"/>
                <w:szCs w:val="20"/>
              </w:rPr>
            </w:pPr>
          </w:p>
        </w:tc>
        <w:tc>
          <w:tcPr/>
          <w:p>
            <w:pPr>
              <w:pStyle w:val="Compact"/>
              <w:rPr>
                <w:sz w:val="20"/>
                <w:szCs w:val="20"/>
              </w:rPr>
            </w:pPr>
          </w:p>
        </w:tc>
      </w:tr>
      <w:tr>
        <w:tc>
          <w:tcPr/>
          <w:p>
            <w:pPr>
              <w:pStyle w:val="Compact"/>
              <w:rPr>
                <w:sz w:val="20"/>
                <w:szCs w:val="20"/>
              </w:rPr>
            </w:pPr>
            <w:r>
              <w:rPr>
                <w:sz w:val="20"/>
                <w:szCs w:val="20"/>
              </w:rPr>
              <w:drawing>
                <wp:inline>
                  <wp:extent cx="2159999" cy="592098"/>
                  <wp:effectExtent b="0" l="0" r="0" t="0"/>
                  <wp:docPr descr="Modyva Logo" title="" id="21" name="Picture"/>
                  <a:graphic>
                    <a:graphicData uri="http://schemas.openxmlformats.org/drawingml/2006/picture">
                      <pic:pic>
                        <pic:nvPicPr>
                          <pic:cNvPr descr="templates/modyva.png" id="22" name="Picture"/>
                          <pic:cNvPicPr>
                            <a:picLocks noChangeArrowheads="1" noChangeAspect="1"/>
                          </pic:cNvPicPr>
                        </pic:nvPicPr>
                        <pic:blipFill>
                          <a:blip r:embed="rId20"/>
                          <a:stretch>
                            <a:fillRect/>
                          </a:stretch>
                        </pic:blipFill>
                        <pic:spPr bwMode="auto">
                          <a:xfrm>
                            <a:off x="0" y="0"/>
                            <a:ext cx="2159999" cy="592098"/>
                          </a:xfrm>
                          <a:prstGeom prst="rect">
                            <a:avLst/>
                          </a:prstGeom>
                          <a:noFill/>
                          <a:ln w="9525">
                            <a:noFill/>
                            <a:headEnd/>
                            <a:tailEnd/>
                          </a:ln>
                        </pic:spPr>
                      </pic:pic>
                    </a:graphicData>
                  </a:graphic>
                </wp:inline>
              </w:drawing>
            </w:r>
          </w:p>
        </w:tc>
        <w:tc>
          <w:tcPr/>
          <w:p>
            <w:pPr>
              <w:pStyle w:val="Compact"/>
              <w:rPr>
                <w:sz w:val="20"/>
                <w:szCs w:val="20"/>
              </w:rPr>
            </w:pPr>
            <w:r>
              <w:rPr>
                <w:sz w:val="20"/>
                <w:szCs w:val="20"/>
              </w:rPr>
              <w:drawing>
                <wp:inline>
                  <wp:extent cx="2159999" cy="848259"/>
                  <wp:effectExtent b="0" l="0" r="0" t="0"/>
                  <wp:docPr descr="Cohezio Logo" title="" id="24" name="Picture"/>
                  <a:graphic>
                    <a:graphicData uri="http://schemas.openxmlformats.org/drawingml/2006/picture">
                      <pic:pic>
                        <pic:nvPicPr>
                          <pic:cNvPr descr="templates/cohezio.png" id="25" name="Picture"/>
                          <pic:cNvPicPr>
                            <a:picLocks noChangeArrowheads="1" noChangeAspect="1"/>
                          </pic:cNvPicPr>
                        </pic:nvPicPr>
                        <pic:blipFill>
                          <a:blip r:embed="rId23"/>
                          <a:stretch>
                            <a:fillRect/>
                          </a:stretch>
                        </pic:blipFill>
                        <pic:spPr bwMode="auto">
                          <a:xfrm>
                            <a:off x="0" y="0"/>
                            <a:ext cx="2159999" cy="848259"/>
                          </a:xfrm>
                          <a:prstGeom prst="rect">
                            <a:avLst/>
                          </a:prstGeom>
                          <a:noFill/>
                          <a:ln w="9525">
                            <a:noFill/>
                            <a:headEnd/>
                            <a:tailEnd/>
                          </a:ln>
                        </pic:spPr>
                      </pic:pic>
                    </a:graphicData>
                  </a:graphic>
                </wp:inline>
              </w:drawing>
            </w:r>
          </w:p>
        </w:tc>
      </w:tr>
    </w:tbl>
    <w:p>
      <w:r>
        <w:br w:type="page"/>
      </w:r>
    </w:p>
    <w:bookmarkStart w:id="26" w:name="introduction"/>
    <w:p>
      <w:pPr>
        <w:pStyle w:val="Heading1"/>
      </w:pPr>
      <w:r>
        <w:t xml:space="preserve">Introduction</w:t>
      </w:r>
    </w:p>
    <w:p>
      <w:pPr>
        <w:pStyle w:val="FirstParagraph"/>
      </w:pPr>
      <w:r>
        <w:t xml:space="preserve">Le présent rapport analyse les dangers intrinsèques du produit</w:t>
      </w:r>
      <w:r>
        <w:t xml:space="preserve"> </w:t>
      </w:r>
      <w:r>
        <w:rPr>
          <w:b/>
          <w:bCs/>
        </w:rPr>
        <w:t xml:space="preserve">certified-typhoonbw-wat-tubok</w:t>
      </w:r>
      <w:r>
        <w:t xml:space="preserve">.</w:t>
      </w:r>
    </w:p>
    <w:p>
      <w:pPr>
        <w:pStyle w:val="BodyText"/>
      </w:pPr>
      <w:r>
        <w:t xml:space="preserve">L’analyse vise à répondre aux questions suivantes :</w:t>
      </w:r>
    </w:p>
    <w:p>
      <w:pPr>
        <w:pStyle w:val="Compact"/>
        <w:numPr>
          <w:ilvl w:val="0"/>
          <w:numId w:val="1001"/>
        </w:numPr>
      </w:pPr>
      <w:r>
        <w:t xml:space="preserve">Quels sont les dangers associés au produit et à ses substances ?</w:t>
      </w:r>
    </w:p>
    <w:p>
      <w:pPr>
        <w:pStyle w:val="Compact"/>
        <w:numPr>
          <w:ilvl w:val="0"/>
          <w:numId w:val="1001"/>
        </w:numPr>
      </w:pPr>
      <w:r>
        <w:t xml:space="preserve">Les substances présentes sont-elles soumises à des valeurs limites d’exposition ou à des classifications particulières (CMR, SEVESO, …) ?</w:t>
      </w:r>
    </w:p>
    <w:p>
      <w:pPr>
        <w:pStyle w:val="Compact"/>
        <w:numPr>
          <w:ilvl w:val="0"/>
          <w:numId w:val="1001"/>
        </w:numPr>
      </w:pPr>
      <w:r>
        <w:t xml:space="preserve">Quels sont les dangers pour la santé connus pour ces différentes substances ?</w:t>
      </w:r>
    </w:p>
    <w:p>
      <w:pPr>
        <w:pStyle w:val="Compact"/>
        <w:numPr>
          <w:ilvl w:val="0"/>
          <w:numId w:val="1001"/>
        </w:numPr>
      </w:pPr>
      <w:r>
        <w:t xml:space="preserve">Est-ce que la FDS reçue présente potentiellement des erreurs (obsolescence, changements dans les classifications de l’ECHA, …) ?</w:t>
      </w:r>
    </w:p>
    <w:p>
      <w:pPr>
        <w:pStyle w:val="Compact"/>
        <w:numPr>
          <w:ilvl w:val="0"/>
          <w:numId w:val="1001"/>
        </w:numPr>
      </w:pPr>
      <w:r>
        <w:t xml:space="preserve">Quelles mesures de prévention doivent être envisagées lors de l’utilisation de ce produit ?</w:t>
      </w:r>
    </w:p>
    <w:p>
      <w:pPr>
        <w:pStyle w:val="FirstParagraph"/>
      </w:pPr>
      <w:r>
        <w:t xml:space="preserve">La fiche de données de sécurité (FDS) a été traitée à l’aide de l’outil d’intelligence artificielle</w:t>
      </w:r>
      <w:r>
        <w:t xml:space="preserve"> </w:t>
      </w:r>
      <w:r>
        <w:rPr>
          <w:b/>
          <w:bCs/>
        </w:rPr>
        <w:t xml:space="preserve">EmilIA</w:t>
      </w:r>
      <w:r>
        <w:t xml:space="preserve"> </w:t>
      </w:r>
      <w:r>
        <w:t xml:space="preserve">développé par</w:t>
      </w:r>
      <w:r>
        <w:t xml:space="preserve"> </w:t>
      </w:r>
      <w:r>
        <w:rPr>
          <w:b/>
          <w:bCs/>
        </w:rPr>
        <w:t xml:space="preserve">Modyva</w:t>
      </w:r>
      <w:r>
        <w:t xml:space="preserve">. Les résultats ont été revus et contrôlés par Modyva.</w:t>
      </w:r>
      <w:r>
        <w:br/>
      </w:r>
      <w:r>
        <w:t xml:space="preserve">L’analyse se limite à une analyse des dangers. L’exposition au risque basée sur les conditions réelles d’utilisation in-situ n’a pas été évaluée.</w:t>
      </w:r>
    </w:p>
    <w:p>
      <w:pPr>
        <w:pStyle w:val="BodyText"/>
      </w:pPr>
      <w:r>
        <w:t xml:space="preserve">Cette étude est basée sur les prescriptions et recommandations suivantes :</w:t>
      </w:r>
    </w:p>
    <w:p>
      <w:pPr>
        <w:pStyle w:val="Compact"/>
        <w:numPr>
          <w:ilvl w:val="0"/>
          <w:numId w:val="1002"/>
        </w:numPr>
      </w:pPr>
      <w:r>
        <w:t xml:space="preserve">LIVRE VI — Agents chimiques, cancérigènes, mutagènes et reprotoxiques</w:t>
      </w:r>
    </w:p>
    <w:p>
      <w:pPr>
        <w:pStyle w:val="Compact"/>
        <w:numPr>
          <w:ilvl w:val="0"/>
          <w:numId w:val="1002"/>
        </w:numPr>
      </w:pPr>
      <w:r>
        <w:t xml:space="preserve">Fiches toxicologiques de l’INRS</w:t>
      </w:r>
    </w:p>
    <w:p>
      <w:pPr>
        <w:pStyle w:val="Compact"/>
        <w:numPr>
          <w:ilvl w:val="0"/>
          <w:numId w:val="1002"/>
        </w:numPr>
      </w:pPr>
      <w:r>
        <w:t xml:space="preserve">Directive 2012/18/UE (SEVESO)</w:t>
      </w:r>
    </w:p>
    <w:p>
      <w:pPr>
        <w:pStyle w:val="Compact"/>
        <w:numPr>
          <w:ilvl w:val="0"/>
          <w:numId w:val="1002"/>
        </w:numPr>
      </w:pPr>
      <w:r>
        <w:t xml:space="preserve">Règlement (CE) 1272/2008 (CLP)</w:t>
      </w:r>
    </w:p>
    <w:p>
      <w:pPr>
        <w:pStyle w:val="Compact"/>
        <w:numPr>
          <w:ilvl w:val="0"/>
          <w:numId w:val="1002"/>
        </w:numPr>
      </w:pPr>
      <w:r>
        <w:t xml:space="preserve">Règlement (CE) 1907/2006 (REACH) — Annexe XVII / Annexe XIV</w:t>
      </w:r>
    </w:p>
    <w:p>
      <w:pPr>
        <w:pStyle w:val="Compact"/>
        <w:numPr>
          <w:ilvl w:val="0"/>
          <w:numId w:val="1002"/>
        </w:numPr>
      </w:pPr>
      <w:r>
        <w:t xml:space="preserve">Règlement (UE) 2019/1021 (POP)</w:t>
      </w:r>
    </w:p>
    <w:p>
      <w:pPr>
        <w:pStyle w:val="Compact"/>
        <w:numPr>
          <w:ilvl w:val="0"/>
          <w:numId w:val="1002"/>
        </w:numPr>
      </w:pPr>
      <w:r>
        <w:t xml:space="preserve">Règlement (UE) 528/2012 (Biocides)</w:t>
      </w:r>
    </w:p>
    <w:p>
      <w:r>
        <w:br w:type="page"/>
      </w:r>
    </w:p>
    <w:bookmarkEnd w:id="26"/>
    <w:bookmarkStart w:id="60" w:name="X9403d6a87c6f45c1ab215a8ad2ee2b92e3d1a5a"/>
    <w:p>
      <w:pPr>
        <w:pStyle w:val="Heading1"/>
      </w:pPr>
      <w:r>
        <w:t xml:space="preserve">Analyse des dangers : certified-typhoonbw-wat-tubok</w:t>
      </w:r>
    </w:p>
    <w:p>
      <w:pPr>
        <w:pStyle w:val="FirstParagraph"/>
      </w:pPr>
      <w:r>
        <w:t xml:space="preserve">Dans la suite, nous détaillons les dangers associés au produit</w:t>
      </w:r>
      <w:r>
        <w:t xml:space="preserve"> </w:t>
      </w:r>
      <w:r>
        <w:rPr>
          <w:b/>
          <w:bCs/>
        </w:rPr>
        <w:t xml:space="preserve">certified-typhoonbw-wat-tubok</w:t>
      </w:r>
      <w:r>
        <w:t xml:space="preserve">, les éléments potentiellement erronés ou obsolètes relevés dans la FDS, les classifications des différentes substances présentes et les protections individuelles à envisager.</w:t>
      </w:r>
    </w:p>
    <w:bookmarkStart w:id="27" w:name="X8dba009bd9247913838556218799ec0ac58d74c"/>
    <w:p>
      <w:pPr>
        <w:pStyle w:val="Heading2"/>
      </w:pPr>
      <w:r>
        <w:t xml:space="preserve">Remarques préalables relatives au contenu de la FDS</w:t>
      </w:r>
    </w:p>
    <w:tbl>
      <w:tblPr>
        <w:tblStyle w:val="TableGrid"/>
        <w:tblW w:type="auto" w:w="0"/>
        <w:jc w:val="lef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autofit"/>
      </w:tblPr>
      <w:tblGrid>
        <w:gridCol w:w="3960"/>
        <w:gridCol w:w="3960"/>
      </w:tblGrid>
      <w:tr>
        <w:trPr>
          <w:tblHeader w:val="on"/>
        </w:trPr>
        <w:tc>
          <w:tcPr/>
          <w:p>
            <w:pPr>
              <w:pStyle w:val="Compact"/>
              <w:rPr>
                <w:sz w:val="20"/>
                <w:szCs w:val="20"/>
              </w:rPr>
            </w:pPr>
            <w:r>
              <w:rPr>
                <w:sz w:val="20"/>
                <w:szCs w:val="20"/>
              </w:rPr>
              <w:t xml:space="preserve">Propriété</w:t>
            </w:r>
          </w:p>
        </w:tc>
        <w:tc>
          <w:tcPr/>
          <w:p>
            <w:pPr>
              <w:pStyle w:val="Compact"/>
              <w:rPr>
                <w:sz w:val="20"/>
                <w:szCs w:val="20"/>
              </w:rPr>
            </w:pPr>
            <w:r>
              <w:rPr>
                <w:sz w:val="20"/>
                <w:szCs w:val="20"/>
              </w:rPr>
              <w:t xml:space="preserve">Valeur</w:t>
            </w:r>
          </w:p>
        </w:tc>
      </w:tr>
      <w:tr>
        <w:tc>
          <w:tcPr/>
          <w:p>
            <w:pPr>
              <w:pStyle w:val="Compact"/>
              <w:rPr>
                <w:sz w:val="20"/>
                <w:szCs w:val="20"/>
              </w:rPr>
            </w:pPr>
            <w:r>
              <w:rPr>
                <w:sz w:val="20"/>
                <w:szCs w:val="20"/>
              </w:rPr>
              <w:t xml:space="preserve">Fabriqué par</w:t>
            </w:r>
          </w:p>
        </w:tc>
        <w:tc>
          <w:tcPr/>
          <w:p>
            <w:pPr>
              <w:pStyle w:val="Compact"/>
              <w:rPr>
                <w:sz w:val="20"/>
                <w:szCs w:val="20"/>
              </w:rPr>
            </w:pPr>
            <w:r>
              <w:rPr>
                <w:sz w:val="20"/>
                <w:szCs w:val="20"/>
              </w:rPr>
              <w:t xml:space="preserve">NCH Belgium Inc.</w:t>
            </w:r>
          </w:p>
        </w:tc>
      </w:tr>
      <w:tr>
        <w:tc>
          <w:tcPr/>
          <w:p>
            <w:pPr>
              <w:pStyle w:val="Compact"/>
              <w:rPr>
                <w:sz w:val="20"/>
                <w:szCs w:val="20"/>
              </w:rPr>
            </w:pPr>
            <w:r>
              <w:rPr>
                <w:sz w:val="20"/>
                <w:szCs w:val="20"/>
              </w:rPr>
              <w:t xml:space="preserve">État physique</w:t>
            </w:r>
          </w:p>
        </w:tc>
        <w:tc>
          <w:tcPr/>
          <w:p>
            <w:pPr>
              <w:pStyle w:val="Compact"/>
              <w:rPr>
                <w:sz w:val="20"/>
                <w:szCs w:val="20"/>
              </w:rPr>
            </w:pPr>
            <w:r>
              <w:rPr>
                <w:sz w:val="20"/>
                <w:szCs w:val="20"/>
              </w:rPr>
              <w:t xml:space="preserve">liquide</w:t>
            </w:r>
          </w:p>
        </w:tc>
      </w:tr>
      <w:tr>
        <w:tc>
          <w:tcPr/>
          <w:p>
            <w:pPr>
              <w:pStyle w:val="Compact"/>
              <w:rPr>
                <w:sz w:val="20"/>
                <w:szCs w:val="20"/>
              </w:rPr>
            </w:pPr>
            <w:r>
              <w:rPr>
                <w:sz w:val="20"/>
                <w:szCs w:val="20"/>
              </w:rPr>
              <w:t xml:space="preserve">Forme</w:t>
            </w:r>
          </w:p>
        </w:tc>
        <w:tc>
          <w:tcPr/>
          <w:p>
            <w:pPr>
              <w:pStyle w:val="Compact"/>
              <w:rPr>
                <w:sz w:val="20"/>
                <w:szCs w:val="20"/>
              </w:rPr>
            </w:pPr>
            <w:r>
              <w:rPr>
                <w:sz w:val="20"/>
                <w:szCs w:val="20"/>
              </w:rPr>
              <w:t xml:space="preserve">-</w:t>
            </w:r>
          </w:p>
        </w:tc>
      </w:tr>
      <w:tr>
        <w:tc>
          <w:tcPr/>
          <w:p>
            <w:pPr>
              <w:pStyle w:val="Compact"/>
              <w:rPr>
                <w:sz w:val="20"/>
                <w:szCs w:val="20"/>
              </w:rPr>
            </w:pPr>
            <w:r>
              <w:rPr>
                <w:sz w:val="20"/>
                <w:szCs w:val="20"/>
              </w:rPr>
              <w:t xml:space="preserve">pH</w:t>
            </w:r>
          </w:p>
        </w:tc>
        <w:tc>
          <w:tcPr/>
          <w:p>
            <w:pPr>
              <w:pStyle w:val="Compact"/>
              <w:rPr>
                <w:sz w:val="20"/>
                <w:szCs w:val="20"/>
              </w:rPr>
            </w:pPr>
            <w:r>
              <w:rPr>
                <w:sz w:val="20"/>
                <w:szCs w:val="20"/>
              </w:rPr>
              <w:t xml:space="preserve">10.8</w:t>
            </w:r>
          </w:p>
        </w:tc>
      </w:tr>
      <w:tr>
        <w:tc>
          <w:tcPr/>
          <w:p>
            <w:pPr>
              <w:pStyle w:val="Compact"/>
              <w:rPr>
                <w:sz w:val="20"/>
                <w:szCs w:val="20"/>
              </w:rPr>
            </w:pPr>
            <w:r>
              <w:rPr>
                <w:sz w:val="20"/>
                <w:szCs w:val="20"/>
              </w:rPr>
              <w:t xml:space="preserve">Usage</w:t>
            </w:r>
          </w:p>
        </w:tc>
        <w:tc>
          <w:tcPr/>
          <w:p>
            <w:pPr>
              <w:pStyle w:val="Compact"/>
              <w:rPr>
                <w:sz w:val="20"/>
                <w:szCs w:val="20"/>
              </w:rPr>
            </w:pPr>
            <w:r>
              <w:rPr>
                <w:sz w:val="20"/>
                <w:szCs w:val="20"/>
              </w:rPr>
              <w:t xml:space="preserve">Nettoyant du film routier.</w:t>
            </w:r>
          </w:p>
        </w:tc>
      </w:tr>
      <w:tr>
        <w:tc>
          <w:tcPr/>
          <w:p>
            <w:pPr>
              <w:pStyle w:val="Compact"/>
              <w:rPr>
                <w:sz w:val="20"/>
                <w:szCs w:val="20"/>
              </w:rPr>
            </w:pPr>
            <w:r>
              <w:rPr>
                <w:sz w:val="20"/>
                <w:szCs w:val="20"/>
              </w:rPr>
              <w:t xml:space="preserve">Date FDS</w:t>
            </w:r>
          </w:p>
        </w:tc>
        <w:tc>
          <w:tcPr/>
          <w:p>
            <w:pPr>
              <w:pStyle w:val="Compact"/>
              <w:rPr>
                <w:sz w:val="20"/>
                <w:szCs w:val="20"/>
              </w:rPr>
            </w:pPr>
            <w:r>
              <w:rPr>
                <w:sz w:val="20"/>
                <w:szCs w:val="20"/>
              </w:rPr>
              <w:t xml:space="preserve">2019-01-21</w:t>
            </w:r>
          </w:p>
        </w:tc>
      </w:tr>
    </w:tbl>
    <w:p>
      <w:pPr>
        <w:pStyle w:val="BodyText"/>
      </w:pPr>
      <w:r>
        <w:t xml:space="preserve"> </w:t>
      </w:r>
      <w:r>
        <w:t xml:space="preserve">La FDS date du 2019-01-21. Elle a donc 7 an(s).</w:t>
      </w:r>
    </w:p>
    <w:p>
      <w:pPr>
        <w:pStyle w:val="BodyText"/>
      </w:pPr>
      <w:r>
        <w:t xml:space="preserve">La FDS ayant plus de 5 ans, il est</w:t>
      </w:r>
      <w:r>
        <w:t xml:space="preserve"> </w:t>
      </w:r>
      <w:r>
        <w:rPr>
          <w:i/>
          <w:iCs/>
        </w:rPr>
        <w:t xml:space="preserve">nécessaire</w:t>
      </w:r>
      <w:r>
        <w:t xml:space="preserve"> </w:t>
      </w:r>
      <w:r>
        <w:t xml:space="preserve">de demander au fournisseur de produire une FDS mise à jour.</w:t>
      </w:r>
    </w:p>
    <w:bookmarkEnd w:id="27"/>
    <w:bookmarkStart w:id="29" w:name="erreurs-de-classification"/>
    <w:p>
      <w:pPr>
        <w:pStyle w:val="Heading2"/>
      </w:pPr>
      <w:r>
        <w:t xml:space="preserve">Erreurs de classification</w:t>
      </w:r>
    </w:p>
    <w:bookmarkStart w:id="28" w:name="produit"/>
    <w:p>
      <w:pPr>
        <w:pStyle w:val="Heading3"/>
      </w:pPr>
      <w:r>
        <w:t xml:space="preserve">Produit</w:t>
      </w:r>
    </w:p>
    <w:p>
      <w:pPr>
        <w:pStyle w:val="FirstParagraph"/>
      </w:pPr>
      <w:r>
        <w:t xml:space="preserve">Emilia n’a pas identifié d’erreur de classification dans la FDS.</w:t>
      </w:r>
    </w:p>
    <w:bookmarkEnd w:id="28"/>
    <w:bookmarkEnd w:id="29"/>
    <w:bookmarkStart w:id="36" w:name="X8590ab4bbc4e90345d03c8c67bc0c03dd205453"/>
    <w:p>
      <w:pPr>
        <w:pStyle w:val="Heading2"/>
      </w:pPr>
      <w:r>
        <w:t xml:space="preserve">Dangers, conseils de prudence et classification pour le transport du produit</w:t>
      </w:r>
    </w:p>
    <w:p>
      <w:pPr>
        <w:pStyle w:val="FirstParagraph"/>
      </w:pPr>
      <w:r>
        <w:rPr>
          <w:b/>
          <w:bCs/>
        </w:rPr>
        <w:t xml:space="preserve">Mention d’avertissement</w:t>
      </w:r>
      <w:r>
        <w:t xml:space="preserve"> </w:t>
      </w:r>
      <w:r>
        <w:t xml:space="preserve">:</w:t>
      </w:r>
      <w:r>
        <w:t xml:space="preserve"> </w:t>
      </w:r>
      <w:r>
        <w:t xml:space="preserve">Attention</w:t>
      </w:r>
    </w:p>
    <w:p>
      <w:pPr>
        <w:pStyle w:val="BodyText"/>
      </w:pPr>
      <w:r>
        <w:rPr>
          <w:b/>
          <w:bCs/>
        </w:rPr>
        <w:t xml:space="preserve">Pictogrammes (SGH)</w:t>
      </w:r>
      <w:r>
        <w:t xml:space="preserve"> </w:t>
      </w:r>
      <w:r>
        <w:t xml:space="preserve">:</w:t>
      </w:r>
    </w:p>
    <w:p>
      <w:pPr>
        <w:pStyle w:val="BodyText"/>
      </w:pPr>
      <w:r>
        <w:drawing>
          <wp:inline>
            <wp:extent cx="719999" cy="719999"/>
            <wp:effectExtent b="0" l="0" r="0" t="0"/>
            <wp:docPr descr="Corrosif" title="" id="31" name="Picture"/>
            <a:graphic>
              <a:graphicData uri="http://schemas.openxmlformats.org/drawingml/2006/picture">
                <pic:pic>
                  <pic:nvPicPr>
                    <pic:cNvPr descr="templates/SGH05.png" id="32" name="Picture"/>
                    <pic:cNvPicPr>
                      <a:picLocks noChangeArrowheads="1" noChangeAspect="1"/>
                    </pic:cNvPicPr>
                  </pic:nvPicPr>
                  <pic:blipFill>
                    <a:blip r:embed="rId30"/>
                    <a:stretch>
                      <a:fillRect/>
                    </a:stretch>
                  </pic:blipFill>
                  <pic:spPr bwMode="auto">
                    <a:xfrm>
                      <a:off x="0" y="0"/>
                      <a:ext cx="719999" cy="719999"/>
                    </a:xfrm>
                    <a:prstGeom prst="rect">
                      <a:avLst/>
                    </a:prstGeom>
                    <a:noFill/>
                    <a:ln w="9525">
                      <a:noFill/>
                      <a:headEnd/>
                      <a:tailEnd/>
                    </a:ln>
                  </pic:spPr>
                </pic:pic>
              </a:graphicData>
            </a:graphic>
          </wp:inline>
        </w:drawing>
      </w:r>
      <w:r>
        <w:t xml:space="preserve">Corrosif</w:t>
      </w:r>
    </w:p>
    <w:p>
      <w:pPr>
        <w:pStyle w:val="BodyText"/>
      </w:pPr>
      <w:r>
        <w:drawing>
          <wp:inline>
            <wp:extent cx="719999" cy="719999"/>
            <wp:effectExtent b="0" l="0" r="0" t="0"/>
            <wp:docPr descr="Nocif / Irritant" title="" id="34" name="Picture"/>
            <a:graphic>
              <a:graphicData uri="http://schemas.openxmlformats.org/drawingml/2006/picture">
                <pic:pic>
                  <pic:nvPicPr>
                    <pic:cNvPr descr="templates/SGH07.png" id="35" name="Picture"/>
                    <pic:cNvPicPr>
                      <a:picLocks noChangeArrowheads="1" noChangeAspect="1"/>
                    </pic:cNvPicPr>
                  </pic:nvPicPr>
                  <pic:blipFill>
                    <a:blip r:embed="rId33"/>
                    <a:stretch>
                      <a:fillRect/>
                    </a:stretch>
                  </pic:blipFill>
                  <pic:spPr bwMode="auto">
                    <a:xfrm>
                      <a:off x="0" y="0"/>
                      <a:ext cx="719999" cy="719999"/>
                    </a:xfrm>
                    <a:prstGeom prst="rect">
                      <a:avLst/>
                    </a:prstGeom>
                    <a:noFill/>
                    <a:ln w="9525">
                      <a:noFill/>
                      <a:headEnd/>
                      <a:tailEnd/>
                    </a:ln>
                  </pic:spPr>
                </pic:pic>
              </a:graphicData>
            </a:graphic>
          </wp:inline>
        </w:drawing>
      </w:r>
      <w:r>
        <w:t xml:space="preserve">Nocif / Irritant</w:t>
      </w:r>
    </w:p>
    <w:p>
      <w:pPr>
        <w:pStyle w:val="BodyText"/>
      </w:pPr>
      <w:r>
        <w:rPr>
          <w:b/>
          <w:bCs/>
        </w:rPr>
        <w:t xml:space="preserve">Mentions de danger</w:t>
      </w:r>
      <w:r>
        <w:t xml:space="preserve"> </w:t>
      </w:r>
      <w:r>
        <w:t xml:space="preserve">:</w:t>
      </w:r>
    </w:p>
    <w:p>
      <w:pPr>
        <w:numPr>
          <w:ilvl w:val="0"/>
          <w:numId w:val="1003"/>
        </w:numPr>
      </w:pPr>
      <w:r>
        <w:t xml:space="preserve">H302</w:t>
      </w:r>
      <w:r>
        <w:t xml:space="preserve"> </w:t>
      </w:r>
      <w:r>
        <w:t xml:space="preserve">Nocif en cas d’ingestion.</w:t>
      </w:r>
    </w:p>
    <w:p>
      <w:pPr>
        <w:numPr>
          <w:ilvl w:val="0"/>
          <w:numId w:val="1003"/>
        </w:numPr>
      </w:pPr>
      <w:r>
        <w:t xml:space="preserve">H315</w:t>
      </w:r>
      <w:r>
        <w:t xml:space="preserve"> </w:t>
      </w:r>
      <w:r>
        <w:t xml:space="preserve">Provoque une irritation cutanée.</w:t>
      </w:r>
    </w:p>
    <w:p>
      <w:pPr>
        <w:numPr>
          <w:ilvl w:val="0"/>
          <w:numId w:val="1003"/>
        </w:numPr>
      </w:pPr>
      <w:r>
        <w:t xml:space="preserve">H318</w:t>
      </w:r>
      <w:r>
        <w:t xml:space="preserve"> </w:t>
      </w:r>
      <w:r>
        <w:t xml:space="preserve">Provoque des lésions oculaires graves.</w:t>
      </w:r>
    </w:p>
    <w:p>
      <w:pPr>
        <w:pStyle w:val="FirstParagraph"/>
      </w:pPr>
      <w:r>
        <w:rPr>
          <w:b/>
          <w:bCs/>
        </w:rPr>
        <w:t xml:space="preserve">Conseils de prudence</w:t>
      </w:r>
      <w:r>
        <w:t xml:space="preserve"> </w:t>
      </w:r>
      <w:r>
        <w:t xml:space="preserve">:</w:t>
      </w:r>
    </w:p>
    <w:p>
      <w:pPr>
        <w:numPr>
          <w:ilvl w:val="0"/>
          <w:numId w:val="1004"/>
        </w:numPr>
      </w:pPr>
      <w:r>
        <w:t xml:space="preserve">P280</w:t>
      </w:r>
      <w:r>
        <w:t xml:space="preserve"> </w:t>
      </w:r>
      <w:r>
        <w:t xml:space="preserve">Porter des gants de protection/des vêtements de protection/un équipement de protection des yeux/ du visage.</w:t>
      </w:r>
    </w:p>
    <w:p>
      <w:pPr>
        <w:numPr>
          <w:ilvl w:val="0"/>
          <w:numId w:val="1004"/>
        </w:numPr>
      </w:pPr>
      <w:r>
        <w:t xml:space="preserve">P305+P351+P338</w:t>
      </w:r>
      <w:r>
        <w:t xml:space="preserve"> </w:t>
      </w:r>
      <w:r>
        <w:t xml:space="preserve">EN CAS DE CONTACT AVEC LES YEUX: rincer avec précaution à l’eau pendant plusieurs minutes. Enlever les lentilles de contact si la victime en porte et si elles peuvent être facilement enlevées. Continuer à rincer.</w:t>
      </w:r>
    </w:p>
    <w:p>
      <w:pPr>
        <w:numPr>
          <w:ilvl w:val="0"/>
          <w:numId w:val="1004"/>
        </w:numPr>
      </w:pPr>
      <w:r>
        <w:t xml:space="preserve">P310</w:t>
      </w:r>
      <w:r>
        <w:t xml:space="preserve"> </w:t>
      </w:r>
      <w:r>
        <w:t xml:space="preserve">P310</w:t>
      </w:r>
    </w:p>
    <w:p>
      <w:pPr>
        <w:pStyle w:val="FirstParagraph"/>
      </w:pPr>
      <w:r>
        <w:rPr>
          <w:b/>
          <w:bCs/>
        </w:rPr>
        <w:t xml:space="preserve">Transport</w:t>
      </w:r>
      <w:r>
        <w:t xml:space="preserve"> </w:t>
      </w:r>
      <w:r>
        <w:t xml:space="preserve">:</w:t>
      </w:r>
    </w:p>
    <w:p>
      <w:pPr>
        <w:pStyle w:val="Compact"/>
        <w:numPr>
          <w:ilvl w:val="0"/>
          <w:numId w:val="1005"/>
        </w:numPr>
      </w:pPr>
      <w:r>
        <w:t xml:space="preserve">ADR : -</w:t>
      </w:r>
    </w:p>
    <w:p>
      <w:pPr>
        <w:pStyle w:val="Compact"/>
        <w:numPr>
          <w:ilvl w:val="0"/>
          <w:numId w:val="1005"/>
        </w:numPr>
      </w:pPr>
      <w:r>
        <w:t xml:space="preserve">RID : -</w:t>
      </w:r>
    </w:p>
    <w:p>
      <w:pPr>
        <w:pStyle w:val="Compact"/>
        <w:numPr>
          <w:ilvl w:val="0"/>
          <w:numId w:val="1005"/>
        </w:numPr>
      </w:pPr>
      <w:r>
        <w:t xml:space="preserve">ADN : -</w:t>
      </w:r>
    </w:p>
    <w:p>
      <w:pPr>
        <w:pStyle w:val="Compact"/>
        <w:numPr>
          <w:ilvl w:val="0"/>
          <w:numId w:val="1005"/>
        </w:numPr>
      </w:pPr>
      <w:r>
        <w:t xml:space="preserve">IMDG : -</w:t>
      </w:r>
    </w:p>
    <w:p>
      <w:pPr>
        <w:pStyle w:val="Compact"/>
        <w:numPr>
          <w:ilvl w:val="0"/>
          <w:numId w:val="1005"/>
        </w:numPr>
      </w:pPr>
      <w:r>
        <w:t xml:space="preserve">IATA : -</w:t>
      </w:r>
    </w:p>
    <w:p>
      <w:pPr>
        <w:pStyle w:val="Compact"/>
        <w:numPr>
          <w:ilvl w:val="0"/>
          <w:numId w:val="1005"/>
        </w:numPr>
      </w:pPr>
      <w:r>
        <w:t xml:space="preserve">UN : -</w:t>
      </w:r>
    </w:p>
    <w:bookmarkEnd w:id="36"/>
    <w:bookmarkStart w:id="37" w:name="Xda6f178de632779b007ca26fa4959a763d2c7f4"/>
    <w:p>
      <w:pPr>
        <w:pStyle w:val="Heading2"/>
      </w:pPr>
      <w:r>
        <w:t xml:space="preserve">Dangers et/ou mesures par voie d’exposition</w:t>
      </w:r>
    </w:p>
    <w:p>
      <w:pPr>
        <w:pStyle w:val="FirstParagraph"/>
      </w:pPr>
      <w:r>
        <w:t xml:space="preserve">skin : Laver immédiatement et abondamment avec de l’eau et du savon.</w:t>
      </w:r>
      <w:r>
        <w:t xml:space="preserve"> </w:t>
      </w:r>
      <w:r>
        <w:t xml:space="preserve">Enlever les vêtements contaminés et les chaussures.</w:t>
      </w:r>
      <w:r>
        <w:t xml:space="preserve"> </w:t>
      </w:r>
      <w:r>
        <w:t xml:space="preserve">Consulter un médecin si une irritation persiste.</w:t>
      </w:r>
    </w:p>
    <w:p>
      <w:pPr>
        <w:pStyle w:val="BodyText"/>
      </w:pPr>
      <w:r>
        <w:t xml:space="preserve">eyes : Rincer immédiatement avec beaucoup d’eau pendant au moins 15 minutes.</w:t>
      </w:r>
      <w:r>
        <w:t xml:space="preserve"> </w:t>
      </w:r>
      <w:r>
        <w:t xml:space="preserve">Enlever les lentilles de contact si elles peuvent être retirées facilement.</w:t>
      </w:r>
      <w:r>
        <w:t xml:space="preserve"> </w:t>
      </w:r>
      <w:r>
        <w:t xml:space="preserve">Consulter un médecin si une irritation persiste.</w:t>
      </w:r>
    </w:p>
    <w:p>
      <w:pPr>
        <w:pStyle w:val="BodyText"/>
      </w:pPr>
      <w:r>
        <w:t xml:space="preserve">ingestion : Se rincer la bouche à l’eau.</w:t>
      </w:r>
      <w:r>
        <w:t xml:space="preserve"> </w:t>
      </w:r>
      <w:r>
        <w:t xml:space="preserve">Ne PAS faire vomir.</w:t>
      </w:r>
      <w:r>
        <w:t xml:space="preserve"> </w:t>
      </w:r>
      <w:r>
        <w:t xml:space="preserve">Appeler immédiatement un centre antipoison ou un médecin.</w:t>
      </w:r>
    </w:p>
    <w:p>
      <w:pPr>
        <w:pStyle w:val="BodyText"/>
      </w:pPr>
      <w:r>
        <w:t xml:space="preserve">inhalation : Retirer la personne de la zone contaminée et l’amener à l’air frais.</w:t>
      </w:r>
      <w:r>
        <w:t xml:space="preserve"> </w:t>
      </w:r>
      <w:r>
        <w:t xml:space="preserve">Consulter un médecin si une irritation ou une difficulté à respirer apparaît.</w:t>
      </w:r>
      <w:r>
        <w:t xml:space="preserve"> </w:t>
      </w:r>
      <w:r>
        <w:t xml:space="preserve">En cas d’exposition à de fortes concentrations de vapeur ou brouillard, aller à l’air libre.</w:t>
      </w:r>
    </w:p>
    <w:p>
      <w:r>
        <w:br w:type="page"/>
      </w:r>
    </w:p>
    <w:bookmarkEnd w:id="37"/>
    <w:bookmarkStart w:id="57" w:name="Xd3fd47f9279b52cc9d4b00e07bdfde0bea6594f"/>
    <w:p>
      <w:pPr>
        <w:pStyle w:val="Heading2"/>
      </w:pPr>
      <w:r>
        <w:t xml:space="preserve">Informations relatives aux substances dangereuses présentes</w:t>
      </w:r>
    </w:p>
    <w:bookmarkStart w:id="48" w:name="edta-tétasodique"/>
    <w:p>
      <w:pPr>
        <w:pStyle w:val="Heading3"/>
      </w:pPr>
      <w:r>
        <w:t xml:space="preserve">EDTA tétasodique</w:t>
      </w:r>
    </w:p>
    <w:p>
      <w:pPr>
        <w:pStyle w:val="FirstParagraph"/>
      </w:pPr>
      <w:r>
        <w:rPr>
          <w:b/>
          <w:bCs/>
        </w:rPr>
        <w:t xml:space="preserve">Identification</w:t>
      </w:r>
    </w:p>
    <w:p>
      <w:pPr>
        <w:pStyle w:val="Compact"/>
        <w:numPr>
          <w:ilvl w:val="0"/>
          <w:numId w:val="1006"/>
        </w:numPr>
      </w:pPr>
      <w:r>
        <w:t xml:space="preserve">N° CAS : 64-02-8</w:t>
      </w:r>
    </w:p>
    <w:p>
      <w:pPr>
        <w:pStyle w:val="Compact"/>
        <w:numPr>
          <w:ilvl w:val="0"/>
          <w:numId w:val="1006"/>
        </w:numPr>
      </w:pPr>
      <w:r>
        <w:t xml:space="preserve">N° EINECS : 200-573-9</w:t>
      </w:r>
    </w:p>
    <w:p>
      <w:pPr>
        <w:pStyle w:val="FirstParagraph"/>
      </w:pPr>
      <w:r>
        <w:rPr>
          <w:b/>
          <w:bCs/>
        </w:rPr>
        <w:t xml:space="preserve">Concentration</w:t>
      </w:r>
      <w:r>
        <w:t xml:space="preserve"> </w:t>
      </w:r>
      <w:r>
        <w:t xml:space="preserve">:from 10.0 to 20.0</w:t>
      </w:r>
    </w:p>
    <w:p>
      <w:pPr>
        <w:pStyle w:val="BodyText"/>
      </w:pPr>
      <w:r>
        <w:rPr>
          <w:b/>
          <w:bCs/>
        </w:rPr>
        <w:t xml:space="preserve">Dangers</w:t>
      </w:r>
      <w:r>
        <w:t xml:space="preserve"> </w:t>
      </w:r>
      <w:r>
        <w:t xml:space="preserve">:</w:t>
      </w:r>
    </w:p>
    <w:p>
      <w:pPr>
        <w:numPr>
          <w:ilvl w:val="0"/>
          <w:numId w:val="1007"/>
        </w:numPr>
      </w:pPr>
      <w:r>
        <w:t xml:space="preserve">H302</w:t>
      </w:r>
      <w:r>
        <w:t xml:space="preserve"> </w:t>
      </w:r>
      <w:r>
        <w:t xml:space="preserve">Nocif en cas d’ingestion.</w:t>
      </w:r>
    </w:p>
    <w:p>
      <w:pPr>
        <w:numPr>
          <w:ilvl w:val="0"/>
          <w:numId w:val="1007"/>
        </w:numPr>
      </w:pPr>
      <w:r>
        <w:t xml:space="preserve">H318</w:t>
      </w:r>
      <w:r>
        <w:t xml:space="preserve"> </w:t>
      </w:r>
      <w:r>
        <w:t xml:space="preserve">Provoque des lésions oculaires graves.</w:t>
      </w:r>
    </w:p>
    <w:p>
      <w:pPr>
        <w:pStyle w:val="FirstParagraph"/>
      </w:pPr>
      <w:r>
        <w:rPr>
          <w:b/>
          <w:bCs/>
        </w:rPr>
        <w:t xml:space="preserve">Réglementation &amp; Valeurs limites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897"/>
        <w:gridCol w:w="3022"/>
      </w:tblGrid>
      <w:tr>
        <w:trPr>
          <w:tblHeader w:val="on"/>
        </w:trPr>
        <w:tc>
          <w:tcPr/>
          <w:p>
            <w:pPr>
              <w:pStyle w:val="Compact"/>
              <w:rPr>
                <w:sz w:val="20"/>
                <w:szCs w:val="20"/>
              </w:rPr>
            </w:pPr>
            <w:r>
              <w:rPr>
                <w:sz w:val="20"/>
                <w:szCs w:val="20"/>
              </w:rPr>
              <w:t xml:space="preserve">Réglementation</w:t>
            </w:r>
          </w:p>
        </w:tc>
        <w:tc>
          <w:tcPr/>
          <w:p>
            <w:pPr>
              <w:pStyle w:val="Compact"/>
              <w:rPr>
                <w:sz w:val="20"/>
                <w:szCs w:val="20"/>
              </w:rPr>
            </w:pPr>
            <w:r>
              <w:rPr>
                <w:sz w:val="20"/>
                <w:szCs w:val="20"/>
              </w:rPr>
              <w:t xml:space="preserve">Présence / Valeur</w:t>
            </w:r>
          </w:p>
        </w:tc>
      </w:tr>
      <w:tr>
        <w:tc>
          <w:tcPr/>
          <w:p>
            <w:pPr>
              <w:pStyle w:val="Compact"/>
              <w:rPr>
                <w:sz w:val="20"/>
                <w:szCs w:val="20"/>
              </w:rPr>
            </w:pPr>
            <w:r>
              <w:rPr>
                <w:sz w:val="20"/>
                <w:szCs w:val="20"/>
              </w:rPr>
              <w:t xml:space="preserve">Classé CMR</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XVII (restrictions)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XIV (autorisation)</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Règlement POP</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RPB (Biocides)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Seveso (phrases H pertinentes)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VLE – Code du Bien-être au travail</w:t>
            </w:r>
          </w:p>
        </w:tc>
        <w:tc>
          <w:tcPr/>
          <w:p>
            <w:pPr>
              <w:pStyle w:val="Compact"/>
              <w:rPr>
                <w:sz w:val="20"/>
                <w:szCs w:val="20"/>
              </w:rPr>
            </w:pPr>
            <w:r>
              <w:rPr>
                <w:sz w:val="20"/>
                <w:szCs w:val="20"/>
              </w:rPr>
              <w:t xml:space="preserve">Non</w:t>
            </w:r>
          </w:p>
        </w:tc>
      </w:tr>
    </w:tbl>
    <w:bookmarkStart w:id="47" w:name="propriétés"/>
    <w:p>
      <w:pPr>
        <w:pStyle w:val="Heading4"/>
      </w:pPr>
      <w:r>
        <w:t xml:space="preserve">Propriétés</w:t>
      </w:r>
    </w:p>
    <w:p>
      <w:pPr>
        <w:pStyle w:val="FirstParagraph"/>
      </w:pPr>
      <w:hyperlink r:id="rId38">
        <w:r>
          <w:rPr>
            <w:rStyle w:val="Hyperlink"/>
            <w:color w:val="0856A0"/>
            <w:u w:val="single"/>
          </w:rPr>
          <w:t xml:space="preserve">Fiche n°276 - EDTA et sel tétrasodique</w:t>
        </w:r>
      </w:hyperlink>
    </w:p>
    <w:p>
      <w:pPr>
        <w:numPr>
          <w:ilvl w:val="0"/>
          <w:numId w:val="1008"/>
        </w:numPr>
      </w:pPr>
      <w:hyperlink r:id="rId39">
        <w:r>
          <w:rPr>
            <w:rStyle w:val="Hyperlink"/>
            <w:color w:val="0856A0"/>
            <w:u w:val="single"/>
          </w:rPr>
          <w:t xml:space="preserve">Généralités</w:t>
        </w:r>
      </w:hyperlink>
    </w:p>
    <w:p>
      <w:pPr>
        <w:numPr>
          <w:ilvl w:val="0"/>
          <w:numId w:val="1008"/>
        </w:numPr>
      </w:pPr>
      <w:hyperlink r:id="rId40">
        <w:r>
          <w:rPr>
            <w:rStyle w:val="Hyperlink"/>
            <w:color w:val="0856A0"/>
            <w:u w:val="single"/>
          </w:rPr>
          <w:t xml:space="preserve">Caractéristiques</w:t>
        </w:r>
      </w:hyperlink>
    </w:p>
    <w:p>
      <w:pPr>
        <w:numPr>
          <w:ilvl w:val="0"/>
          <w:numId w:val="1008"/>
        </w:numPr>
      </w:pPr>
      <w:hyperlink r:id="rId41">
        <w:r>
          <w:rPr>
            <w:rStyle w:val="Hyperlink"/>
            <w:color w:val="0856A0"/>
            <w:u w:val="single"/>
          </w:rPr>
          <w:t xml:space="preserve">VLEPMesurage</w:t>
        </w:r>
      </w:hyperlink>
    </w:p>
    <w:p>
      <w:pPr>
        <w:numPr>
          <w:ilvl w:val="0"/>
          <w:numId w:val="1008"/>
        </w:numPr>
      </w:pPr>
      <w:hyperlink r:id="rId42">
        <w:r>
          <w:rPr>
            <w:rStyle w:val="Hyperlink"/>
            <w:color w:val="0856A0"/>
            <w:u w:val="single"/>
          </w:rPr>
          <w:t xml:space="preserve">Incendie - Explosion[2, 8-10]</w:t>
        </w:r>
      </w:hyperlink>
    </w:p>
    <w:p>
      <w:pPr>
        <w:numPr>
          <w:ilvl w:val="0"/>
          <w:numId w:val="1008"/>
        </w:numPr>
      </w:pPr>
      <w:hyperlink r:id="rId43">
        <w:r>
          <w:rPr>
            <w:rStyle w:val="Hyperlink"/>
            <w:color w:val="0856A0"/>
            <w:u w:val="single"/>
          </w:rPr>
          <w:t xml:space="preserve">Pathologie - Toxicologie</w:t>
        </w:r>
      </w:hyperlink>
    </w:p>
    <w:p>
      <w:pPr>
        <w:numPr>
          <w:ilvl w:val="0"/>
          <w:numId w:val="1008"/>
        </w:numPr>
      </w:pPr>
      <w:hyperlink r:id="rId44">
        <w:r>
          <w:rPr>
            <w:rStyle w:val="Hyperlink"/>
            <w:color w:val="0856A0"/>
            <w:u w:val="single"/>
          </w:rPr>
          <w:t xml:space="preserve">Règlementation</w:t>
        </w:r>
      </w:hyperlink>
    </w:p>
    <w:p>
      <w:pPr>
        <w:numPr>
          <w:ilvl w:val="0"/>
          <w:numId w:val="1008"/>
        </w:numPr>
      </w:pPr>
      <w:hyperlink r:id="rId45">
        <w:r>
          <w:rPr>
            <w:rStyle w:val="Hyperlink"/>
            <w:color w:val="0856A0"/>
            <w:u w:val="single"/>
          </w:rPr>
          <w:t xml:space="preserve">Recommandations</w:t>
        </w:r>
      </w:hyperlink>
    </w:p>
    <w:p>
      <w:pPr>
        <w:numPr>
          <w:ilvl w:val="0"/>
          <w:numId w:val="1008"/>
        </w:numPr>
      </w:pPr>
      <w:hyperlink r:id="rId46">
        <w:r>
          <w:rPr>
            <w:rStyle w:val="Hyperlink"/>
            <w:color w:val="0856A0"/>
            <w:u w:val="single"/>
          </w:rPr>
          <w:t xml:space="preserve">Bibliographie</w:t>
        </w:r>
      </w:hyperlink>
    </w:p>
    <w:bookmarkEnd w:id="47"/>
    <w:bookmarkEnd w:id="48"/>
    <w:bookmarkStart w:id="50" w:name="sodium-cumene-sulphonate"/>
    <w:p>
      <w:pPr>
        <w:pStyle w:val="Heading3"/>
      </w:pPr>
      <w:r>
        <w:t xml:space="preserve">SODIUM CUMENE SULPHONATE</w:t>
      </w:r>
    </w:p>
    <w:p>
      <w:pPr>
        <w:pStyle w:val="FirstParagraph"/>
      </w:pPr>
      <w:r>
        <w:rPr>
          <w:b/>
          <w:bCs/>
        </w:rPr>
        <w:t xml:space="preserve">Identification</w:t>
      </w:r>
    </w:p>
    <w:p>
      <w:pPr>
        <w:pStyle w:val="Compact"/>
        <w:numPr>
          <w:ilvl w:val="0"/>
          <w:numId w:val="1009"/>
        </w:numPr>
      </w:pPr>
      <w:r>
        <w:t xml:space="preserve">N° CAS : 32073-22-6</w:t>
      </w:r>
    </w:p>
    <w:p>
      <w:pPr>
        <w:pStyle w:val="Compact"/>
        <w:numPr>
          <w:ilvl w:val="0"/>
          <w:numId w:val="1009"/>
        </w:numPr>
      </w:pPr>
      <w:r>
        <w:t xml:space="preserve">N° EINECS : 250-913-5</w:t>
      </w:r>
    </w:p>
    <w:p>
      <w:pPr>
        <w:pStyle w:val="FirstParagraph"/>
      </w:pPr>
      <w:r>
        <w:rPr>
          <w:b/>
          <w:bCs/>
        </w:rPr>
        <w:t xml:space="preserve">Concentration</w:t>
      </w:r>
      <w:r>
        <w:t xml:space="preserve"> </w:t>
      </w:r>
      <w:r>
        <w:t xml:space="preserve">:from 5.0 to 10.0</w:t>
      </w:r>
    </w:p>
    <w:p>
      <w:pPr>
        <w:pStyle w:val="BodyText"/>
      </w:pPr>
      <w:r>
        <w:rPr>
          <w:b/>
          <w:bCs/>
        </w:rPr>
        <w:t xml:space="preserve">Dangers</w:t>
      </w:r>
      <w:r>
        <w:t xml:space="preserve"> </w:t>
      </w:r>
      <w:r>
        <w:t xml:space="preserve">:</w:t>
      </w:r>
    </w:p>
    <w:p>
      <w:pPr>
        <w:numPr>
          <w:ilvl w:val="0"/>
          <w:numId w:val="1010"/>
        </w:numPr>
      </w:pPr>
      <w:r>
        <w:t xml:space="preserve">H315</w:t>
      </w:r>
      <w:r>
        <w:t xml:space="preserve"> </w:t>
      </w:r>
      <w:r>
        <w:t xml:space="preserve">Provoque une irritation cutanée.</w:t>
      </w:r>
    </w:p>
    <w:p>
      <w:pPr>
        <w:numPr>
          <w:ilvl w:val="0"/>
          <w:numId w:val="1010"/>
        </w:numPr>
      </w:pPr>
      <w:r>
        <w:t xml:space="preserve">H319</w:t>
      </w:r>
      <w:r>
        <w:t xml:space="preserve"> </w:t>
      </w:r>
      <w:r>
        <w:t xml:space="preserve">Provoque une sévère irritation des yeux.</w:t>
      </w:r>
    </w:p>
    <w:p>
      <w:pPr>
        <w:numPr>
          <w:ilvl w:val="0"/>
          <w:numId w:val="1010"/>
        </w:numPr>
      </w:pPr>
      <w:r>
        <w:t xml:space="preserve">H335</w:t>
      </w:r>
      <w:r>
        <w:t xml:space="preserve"> </w:t>
      </w:r>
      <w:r>
        <w:t xml:space="preserve">Peut irriter les voies respiratoires.</w:t>
      </w:r>
    </w:p>
    <w:p>
      <w:pPr>
        <w:pStyle w:val="FirstParagraph"/>
      </w:pPr>
      <w:r>
        <w:rPr>
          <w:b/>
          <w:bCs/>
        </w:rPr>
        <w:t xml:space="preserve">Réglementation &amp; Valeurs limites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897"/>
        <w:gridCol w:w="3022"/>
      </w:tblGrid>
      <w:tr>
        <w:trPr>
          <w:tblHeader w:val="on"/>
        </w:trPr>
        <w:tc>
          <w:tcPr/>
          <w:p>
            <w:pPr>
              <w:pStyle w:val="Compact"/>
              <w:rPr>
                <w:sz w:val="20"/>
                <w:szCs w:val="20"/>
              </w:rPr>
            </w:pPr>
            <w:r>
              <w:rPr>
                <w:sz w:val="20"/>
                <w:szCs w:val="20"/>
              </w:rPr>
              <w:t xml:space="preserve">Réglementation</w:t>
            </w:r>
          </w:p>
        </w:tc>
        <w:tc>
          <w:tcPr/>
          <w:p>
            <w:pPr>
              <w:pStyle w:val="Compact"/>
              <w:rPr>
                <w:sz w:val="20"/>
                <w:szCs w:val="20"/>
              </w:rPr>
            </w:pPr>
            <w:r>
              <w:rPr>
                <w:sz w:val="20"/>
                <w:szCs w:val="20"/>
              </w:rPr>
              <w:t xml:space="preserve">Présence / Valeur</w:t>
            </w:r>
          </w:p>
        </w:tc>
      </w:tr>
      <w:tr>
        <w:tc>
          <w:tcPr/>
          <w:p>
            <w:pPr>
              <w:pStyle w:val="Compact"/>
              <w:rPr>
                <w:sz w:val="20"/>
                <w:szCs w:val="20"/>
              </w:rPr>
            </w:pPr>
            <w:r>
              <w:rPr>
                <w:sz w:val="20"/>
                <w:szCs w:val="20"/>
              </w:rPr>
              <w:t xml:space="preserve">Classé CMR</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XVII (restrictions)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XIV (autorisation)</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Règlement POP</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RPB (Biocides)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Seveso (phrases H pertinentes)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VLE – Code du Bien-être au travail</w:t>
            </w:r>
          </w:p>
        </w:tc>
        <w:tc>
          <w:tcPr/>
          <w:p>
            <w:pPr>
              <w:pStyle w:val="Compact"/>
              <w:rPr>
                <w:sz w:val="20"/>
                <w:szCs w:val="20"/>
              </w:rPr>
            </w:pPr>
            <w:r>
              <w:rPr>
                <w:sz w:val="20"/>
                <w:szCs w:val="20"/>
              </w:rPr>
              <w:t xml:space="preserve">Non</w:t>
            </w:r>
          </w:p>
        </w:tc>
      </w:tr>
    </w:tbl>
    <w:bookmarkStart w:id="49" w:name="propriétés-1"/>
    <w:p>
      <w:pPr>
        <w:pStyle w:val="Heading4"/>
      </w:pPr>
      <w:r>
        <w:t xml:space="preserve">Propriétés</w:t>
      </w:r>
    </w:p>
    <w:p>
      <w:pPr>
        <w:pStyle w:val="FirstParagraph"/>
      </w:pPr>
      <w:r>
        <w:t xml:space="preserve">Pas d’informations disponible.</w:t>
      </w:r>
    </w:p>
    <w:bookmarkEnd w:id="49"/>
    <w:bookmarkEnd w:id="50"/>
    <w:bookmarkStart w:id="52" w:name="dodécylebenzène-de-sodium"/>
    <w:p>
      <w:pPr>
        <w:pStyle w:val="Heading3"/>
      </w:pPr>
      <w:r>
        <w:t xml:space="preserve">Dodécylebenzène de sodium</w:t>
      </w:r>
    </w:p>
    <w:p>
      <w:pPr>
        <w:pStyle w:val="FirstParagraph"/>
      </w:pPr>
      <w:r>
        <w:rPr>
          <w:b/>
          <w:bCs/>
        </w:rPr>
        <w:t xml:space="preserve">Identification</w:t>
      </w:r>
    </w:p>
    <w:p>
      <w:pPr>
        <w:pStyle w:val="Compact"/>
        <w:numPr>
          <w:ilvl w:val="0"/>
          <w:numId w:val="1011"/>
        </w:numPr>
      </w:pPr>
      <w:r>
        <w:t xml:space="preserve">N° CAS : 85117-50-6</w:t>
      </w:r>
    </w:p>
    <w:p>
      <w:pPr>
        <w:pStyle w:val="Compact"/>
        <w:numPr>
          <w:ilvl w:val="0"/>
          <w:numId w:val="1011"/>
        </w:numPr>
      </w:pPr>
      <w:r>
        <w:t xml:space="preserve">N° EINECS : 285-600-2</w:t>
      </w:r>
    </w:p>
    <w:p>
      <w:pPr>
        <w:pStyle w:val="FirstParagraph"/>
      </w:pPr>
      <w:r>
        <w:rPr>
          <w:b/>
          <w:bCs/>
        </w:rPr>
        <w:t xml:space="preserve">Concentration</w:t>
      </w:r>
      <w:r>
        <w:t xml:space="preserve"> </w:t>
      </w:r>
      <w:r>
        <w:t xml:space="preserve">:from 5.0 to 10.0</w:t>
      </w:r>
    </w:p>
    <w:p>
      <w:pPr>
        <w:pStyle w:val="BodyText"/>
      </w:pPr>
      <w:r>
        <w:rPr>
          <w:b/>
          <w:bCs/>
        </w:rPr>
        <w:t xml:space="preserve">Dangers</w:t>
      </w:r>
      <w:r>
        <w:t xml:space="preserve"> </w:t>
      </w:r>
      <w:r>
        <w:t xml:space="preserve">:</w:t>
      </w:r>
    </w:p>
    <w:p>
      <w:pPr>
        <w:numPr>
          <w:ilvl w:val="0"/>
          <w:numId w:val="1012"/>
        </w:numPr>
      </w:pPr>
      <w:r>
        <w:t xml:space="preserve">H302</w:t>
      </w:r>
      <w:r>
        <w:t xml:space="preserve"> </w:t>
      </w:r>
      <w:r>
        <w:t xml:space="preserve">Nocif en cas d’ingestion.</w:t>
      </w:r>
    </w:p>
    <w:p>
      <w:pPr>
        <w:numPr>
          <w:ilvl w:val="0"/>
          <w:numId w:val="1012"/>
        </w:numPr>
      </w:pPr>
      <w:r>
        <w:t xml:space="preserve">H315</w:t>
      </w:r>
      <w:r>
        <w:t xml:space="preserve"> </w:t>
      </w:r>
      <w:r>
        <w:t xml:space="preserve">Provoque une irritation cutanée.</w:t>
      </w:r>
    </w:p>
    <w:p>
      <w:pPr>
        <w:numPr>
          <w:ilvl w:val="0"/>
          <w:numId w:val="1012"/>
        </w:numPr>
      </w:pPr>
      <w:r>
        <w:t xml:space="preserve">H318</w:t>
      </w:r>
      <w:r>
        <w:t xml:space="preserve"> </w:t>
      </w:r>
      <w:r>
        <w:t xml:space="preserve">Provoque des lésions oculaires graves.</w:t>
      </w:r>
    </w:p>
    <w:p>
      <w:pPr>
        <w:pStyle w:val="FirstParagraph"/>
      </w:pPr>
      <w:r>
        <w:rPr>
          <w:b/>
          <w:bCs/>
        </w:rPr>
        <w:t xml:space="preserve">Réglementation &amp; Valeurs limites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897"/>
        <w:gridCol w:w="3022"/>
      </w:tblGrid>
      <w:tr>
        <w:trPr>
          <w:tblHeader w:val="on"/>
        </w:trPr>
        <w:tc>
          <w:tcPr/>
          <w:p>
            <w:pPr>
              <w:pStyle w:val="Compact"/>
              <w:rPr>
                <w:sz w:val="20"/>
                <w:szCs w:val="20"/>
              </w:rPr>
            </w:pPr>
            <w:r>
              <w:rPr>
                <w:sz w:val="20"/>
                <w:szCs w:val="20"/>
              </w:rPr>
              <w:t xml:space="preserve">Réglementation</w:t>
            </w:r>
          </w:p>
        </w:tc>
        <w:tc>
          <w:tcPr/>
          <w:p>
            <w:pPr>
              <w:pStyle w:val="Compact"/>
              <w:rPr>
                <w:sz w:val="20"/>
                <w:szCs w:val="20"/>
              </w:rPr>
            </w:pPr>
            <w:r>
              <w:rPr>
                <w:sz w:val="20"/>
                <w:szCs w:val="20"/>
              </w:rPr>
              <w:t xml:space="preserve">Présence / Valeur</w:t>
            </w:r>
          </w:p>
        </w:tc>
      </w:tr>
      <w:tr>
        <w:tc>
          <w:tcPr/>
          <w:p>
            <w:pPr>
              <w:pStyle w:val="Compact"/>
              <w:rPr>
                <w:sz w:val="20"/>
                <w:szCs w:val="20"/>
              </w:rPr>
            </w:pPr>
            <w:r>
              <w:rPr>
                <w:sz w:val="20"/>
                <w:szCs w:val="20"/>
              </w:rPr>
              <w:t xml:space="preserve">Classé CMR</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XVII (restrictions)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XIV (autorisation)</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Règlement POP</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RPB (Biocides)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Seveso (phrases H pertinentes)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VLE – Code du Bien-être au travail</w:t>
            </w:r>
          </w:p>
        </w:tc>
        <w:tc>
          <w:tcPr/>
          <w:p>
            <w:pPr>
              <w:pStyle w:val="Compact"/>
              <w:rPr>
                <w:sz w:val="20"/>
                <w:szCs w:val="20"/>
              </w:rPr>
            </w:pPr>
            <w:r>
              <w:rPr>
                <w:sz w:val="20"/>
                <w:szCs w:val="20"/>
              </w:rPr>
              <w:t xml:space="preserve">Non</w:t>
            </w:r>
          </w:p>
        </w:tc>
      </w:tr>
    </w:tbl>
    <w:bookmarkStart w:id="51" w:name="propriétés-2"/>
    <w:p>
      <w:pPr>
        <w:pStyle w:val="Heading4"/>
      </w:pPr>
      <w:r>
        <w:t xml:space="preserve">Propriétés</w:t>
      </w:r>
    </w:p>
    <w:p>
      <w:pPr>
        <w:pStyle w:val="FirstParagraph"/>
      </w:pPr>
      <w:r>
        <w:t xml:space="preserve">Pas d’informations disponible.</w:t>
      </w:r>
    </w:p>
    <w:bookmarkEnd w:id="51"/>
    <w:bookmarkEnd w:id="52"/>
    <w:bookmarkStart w:id="54" w:name="X646d7bd4ba9999a96d76cd98b29c5577425bb9b"/>
    <w:p>
      <w:pPr>
        <w:pStyle w:val="Heading3"/>
      </w:pPr>
      <w:r>
        <w:t xml:space="preserve">Acide phosphonique, (1-hydroxyéthylidène)bis sel tétasodique</w:t>
      </w:r>
    </w:p>
    <w:p>
      <w:pPr>
        <w:pStyle w:val="FirstParagraph"/>
      </w:pPr>
      <w:r>
        <w:rPr>
          <w:b/>
          <w:bCs/>
        </w:rPr>
        <w:t xml:space="preserve">Identification</w:t>
      </w:r>
    </w:p>
    <w:p>
      <w:pPr>
        <w:pStyle w:val="Compact"/>
        <w:numPr>
          <w:ilvl w:val="0"/>
          <w:numId w:val="1013"/>
        </w:numPr>
      </w:pPr>
      <w:r>
        <w:t xml:space="preserve">N° CAS : 3794-83-0</w:t>
      </w:r>
    </w:p>
    <w:p>
      <w:pPr>
        <w:pStyle w:val="Compact"/>
        <w:numPr>
          <w:ilvl w:val="0"/>
          <w:numId w:val="1013"/>
        </w:numPr>
      </w:pPr>
      <w:r>
        <w:t xml:space="preserve">N° EINECS : 223-267-7</w:t>
      </w:r>
    </w:p>
    <w:p>
      <w:pPr>
        <w:pStyle w:val="FirstParagraph"/>
      </w:pPr>
      <w:r>
        <w:rPr>
          <w:b/>
          <w:bCs/>
        </w:rPr>
        <w:t xml:space="preserve">Concentration</w:t>
      </w:r>
      <w:r>
        <w:t xml:space="preserve"> </w:t>
      </w:r>
      <w:r>
        <w:t xml:space="preserve">:from 3.0 to 5.0</w:t>
      </w:r>
    </w:p>
    <w:p>
      <w:pPr>
        <w:pStyle w:val="BodyText"/>
      </w:pPr>
      <w:r>
        <w:rPr>
          <w:b/>
          <w:bCs/>
        </w:rPr>
        <w:t xml:space="preserve">Dangers</w:t>
      </w:r>
      <w:r>
        <w:t xml:space="preserve"> </w:t>
      </w:r>
      <w:r>
        <w:t xml:space="preserve">:</w:t>
      </w:r>
    </w:p>
    <w:p>
      <w:pPr>
        <w:numPr>
          <w:ilvl w:val="0"/>
          <w:numId w:val="1014"/>
        </w:numPr>
      </w:pPr>
      <w:r>
        <w:t xml:space="preserve">H302</w:t>
      </w:r>
      <w:r>
        <w:t xml:space="preserve"> </w:t>
      </w:r>
      <w:r>
        <w:t xml:space="preserve">Nocif en cas d’ingestion.</w:t>
      </w:r>
    </w:p>
    <w:p>
      <w:pPr>
        <w:numPr>
          <w:ilvl w:val="0"/>
          <w:numId w:val="1014"/>
        </w:numPr>
      </w:pPr>
      <w:r>
        <w:t xml:space="preserve">H315</w:t>
      </w:r>
      <w:r>
        <w:t xml:space="preserve"> </w:t>
      </w:r>
      <w:r>
        <w:t xml:space="preserve">Provoque une irritation cutanée.</w:t>
      </w:r>
    </w:p>
    <w:p>
      <w:pPr>
        <w:numPr>
          <w:ilvl w:val="0"/>
          <w:numId w:val="1014"/>
        </w:numPr>
      </w:pPr>
      <w:r>
        <w:t xml:space="preserve">H319</w:t>
      </w:r>
      <w:r>
        <w:t xml:space="preserve"> </w:t>
      </w:r>
      <w:r>
        <w:t xml:space="preserve">Provoque une sévère irritation des yeux.</w:t>
      </w:r>
    </w:p>
    <w:p>
      <w:pPr>
        <w:pStyle w:val="FirstParagraph"/>
      </w:pPr>
      <w:r>
        <w:rPr>
          <w:b/>
          <w:bCs/>
        </w:rPr>
        <w:t xml:space="preserve">Réglementation &amp; Valeurs limites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897"/>
        <w:gridCol w:w="3022"/>
      </w:tblGrid>
      <w:tr>
        <w:trPr>
          <w:tblHeader w:val="on"/>
        </w:trPr>
        <w:tc>
          <w:tcPr/>
          <w:p>
            <w:pPr>
              <w:pStyle w:val="Compact"/>
              <w:rPr>
                <w:sz w:val="20"/>
                <w:szCs w:val="20"/>
              </w:rPr>
            </w:pPr>
            <w:r>
              <w:rPr>
                <w:sz w:val="20"/>
                <w:szCs w:val="20"/>
              </w:rPr>
              <w:t xml:space="preserve">Réglementation</w:t>
            </w:r>
          </w:p>
        </w:tc>
        <w:tc>
          <w:tcPr/>
          <w:p>
            <w:pPr>
              <w:pStyle w:val="Compact"/>
              <w:rPr>
                <w:sz w:val="20"/>
                <w:szCs w:val="20"/>
              </w:rPr>
            </w:pPr>
            <w:r>
              <w:rPr>
                <w:sz w:val="20"/>
                <w:szCs w:val="20"/>
              </w:rPr>
              <w:t xml:space="preserve">Présence / Valeur</w:t>
            </w:r>
          </w:p>
        </w:tc>
      </w:tr>
      <w:tr>
        <w:tc>
          <w:tcPr/>
          <w:p>
            <w:pPr>
              <w:pStyle w:val="Compact"/>
              <w:rPr>
                <w:sz w:val="20"/>
                <w:szCs w:val="20"/>
              </w:rPr>
            </w:pPr>
            <w:r>
              <w:rPr>
                <w:sz w:val="20"/>
                <w:szCs w:val="20"/>
              </w:rPr>
              <w:t xml:space="preserve">Classé CMR</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XVII (restrictions)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XIV (autorisation)</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Règlement POP</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RPB (Biocides)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Seveso (phrases H pertinentes)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VLE – Code du Bien-être au travail</w:t>
            </w:r>
          </w:p>
        </w:tc>
        <w:tc>
          <w:tcPr/>
          <w:p>
            <w:pPr>
              <w:pStyle w:val="Compact"/>
              <w:rPr>
                <w:sz w:val="20"/>
                <w:szCs w:val="20"/>
              </w:rPr>
            </w:pPr>
            <w:r>
              <w:rPr>
                <w:sz w:val="20"/>
                <w:szCs w:val="20"/>
              </w:rPr>
              <w:t xml:space="preserve">Non</w:t>
            </w:r>
          </w:p>
        </w:tc>
      </w:tr>
    </w:tbl>
    <w:bookmarkStart w:id="53" w:name="propriétés-3"/>
    <w:p>
      <w:pPr>
        <w:pStyle w:val="Heading4"/>
      </w:pPr>
      <w:r>
        <w:t xml:space="preserve">Propriétés</w:t>
      </w:r>
    </w:p>
    <w:p>
      <w:pPr>
        <w:pStyle w:val="FirstParagraph"/>
      </w:pPr>
      <w:r>
        <w:t xml:space="preserve">Pas d’informations disponible.</w:t>
      </w:r>
    </w:p>
    <w:bookmarkEnd w:id="53"/>
    <w:bookmarkEnd w:id="54"/>
    <w:bookmarkStart w:id="56" w:name="pg-c9-11-pareth-6"/>
    <w:p>
      <w:pPr>
        <w:pStyle w:val="Heading3"/>
      </w:pPr>
      <w:r>
        <w:t xml:space="preserve">PG C9-11 PARETH-6</w:t>
      </w:r>
    </w:p>
    <w:p>
      <w:pPr>
        <w:pStyle w:val="FirstParagraph"/>
      </w:pPr>
      <w:r>
        <w:rPr>
          <w:b/>
          <w:bCs/>
        </w:rPr>
        <w:t xml:space="preserve">Identification</w:t>
      </w:r>
    </w:p>
    <w:p>
      <w:pPr>
        <w:pStyle w:val="Compact"/>
        <w:numPr>
          <w:ilvl w:val="0"/>
          <w:numId w:val="1015"/>
        </w:numPr>
      </w:pPr>
      <w:r>
        <w:t xml:space="preserve">N° CAS : 68439-46-3</w:t>
      </w:r>
    </w:p>
    <w:p>
      <w:pPr>
        <w:pStyle w:val="Compact"/>
        <w:numPr>
          <w:ilvl w:val="0"/>
          <w:numId w:val="1015"/>
        </w:numPr>
      </w:pPr>
      <w:r>
        <w:t xml:space="preserve">N° EINECS : None</w:t>
      </w:r>
    </w:p>
    <w:p>
      <w:pPr>
        <w:pStyle w:val="FirstParagraph"/>
      </w:pPr>
      <w:r>
        <w:rPr>
          <w:b/>
          <w:bCs/>
        </w:rPr>
        <w:t xml:space="preserve">Concentration</w:t>
      </w:r>
      <w:r>
        <w:t xml:space="preserve"> </w:t>
      </w:r>
      <w:r>
        <w:t xml:space="preserve">:from 1.0 to 3.0</w:t>
      </w:r>
    </w:p>
    <w:p>
      <w:pPr>
        <w:pStyle w:val="BodyText"/>
      </w:pPr>
      <w:r>
        <w:rPr>
          <w:b/>
          <w:bCs/>
        </w:rPr>
        <w:t xml:space="preserve">Dangers</w:t>
      </w:r>
      <w:r>
        <w:t xml:space="preserve"> </w:t>
      </w:r>
      <w:r>
        <w:t xml:space="preserve">:</w:t>
      </w:r>
    </w:p>
    <w:p>
      <w:pPr>
        <w:numPr>
          <w:ilvl w:val="0"/>
          <w:numId w:val="1016"/>
        </w:numPr>
      </w:pPr>
      <w:r>
        <w:t xml:space="preserve">H302</w:t>
      </w:r>
      <w:r>
        <w:t xml:space="preserve"> </w:t>
      </w:r>
      <w:r>
        <w:t xml:space="preserve">Nocif en cas d’ingestion.</w:t>
      </w:r>
    </w:p>
    <w:p>
      <w:pPr>
        <w:numPr>
          <w:ilvl w:val="0"/>
          <w:numId w:val="1016"/>
        </w:numPr>
      </w:pPr>
      <w:r>
        <w:t xml:space="preserve">H318</w:t>
      </w:r>
      <w:r>
        <w:t xml:space="preserve"> </w:t>
      </w:r>
      <w:r>
        <w:t xml:space="preserve">Provoque des lésions oculaires graves.</w:t>
      </w:r>
    </w:p>
    <w:p>
      <w:pPr>
        <w:pStyle w:val="FirstParagraph"/>
      </w:pPr>
      <w:r>
        <w:rPr>
          <w:b/>
          <w:bCs/>
        </w:rPr>
        <w:t xml:space="preserve">Réglementation &amp; Valeurs limites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897"/>
        <w:gridCol w:w="3022"/>
      </w:tblGrid>
      <w:tr>
        <w:trPr>
          <w:tblHeader w:val="on"/>
        </w:trPr>
        <w:tc>
          <w:tcPr/>
          <w:p>
            <w:pPr>
              <w:pStyle w:val="Compact"/>
              <w:rPr>
                <w:sz w:val="20"/>
                <w:szCs w:val="20"/>
              </w:rPr>
            </w:pPr>
            <w:r>
              <w:rPr>
                <w:sz w:val="20"/>
                <w:szCs w:val="20"/>
              </w:rPr>
              <w:t xml:space="preserve">Réglementation</w:t>
            </w:r>
          </w:p>
        </w:tc>
        <w:tc>
          <w:tcPr/>
          <w:p>
            <w:pPr>
              <w:pStyle w:val="Compact"/>
              <w:rPr>
                <w:sz w:val="20"/>
                <w:szCs w:val="20"/>
              </w:rPr>
            </w:pPr>
            <w:r>
              <w:rPr>
                <w:sz w:val="20"/>
                <w:szCs w:val="20"/>
              </w:rPr>
              <w:t xml:space="preserve">Présence / Valeur</w:t>
            </w:r>
          </w:p>
        </w:tc>
      </w:tr>
      <w:tr>
        <w:tc>
          <w:tcPr/>
          <w:p>
            <w:pPr>
              <w:pStyle w:val="Compact"/>
              <w:rPr>
                <w:sz w:val="20"/>
                <w:szCs w:val="20"/>
              </w:rPr>
            </w:pPr>
            <w:r>
              <w:rPr>
                <w:sz w:val="20"/>
                <w:szCs w:val="20"/>
              </w:rPr>
              <w:t xml:space="preserve">Classé CMR</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XVII (restrictions)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XIV (autorisation)</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Règlement POP</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RPB (Biocides)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Seveso (phrases H pertinentes)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VLE – Code du Bien-être au travail</w:t>
            </w:r>
          </w:p>
        </w:tc>
        <w:tc>
          <w:tcPr/>
          <w:p>
            <w:pPr>
              <w:pStyle w:val="Compact"/>
              <w:rPr>
                <w:sz w:val="20"/>
                <w:szCs w:val="20"/>
              </w:rPr>
            </w:pPr>
            <w:r>
              <w:rPr>
                <w:sz w:val="20"/>
                <w:szCs w:val="20"/>
              </w:rPr>
              <w:t xml:space="preserve">Non</w:t>
            </w:r>
          </w:p>
        </w:tc>
      </w:tr>
    </w:tbl>
    <w:bookmarkStart w:id="55" w:name="propriétés-4"/>
    <w:p>
      <w:pPr>
        <w:pStyle w:val="Heading4"/>
      </w:pPr>
      <w:r>
        <w:t xml:space="preserve">Propriétés</w:t>
      </w:r>
    </w:p>
    <w:p>
      <w:pPr>
        <w:pStyle w:val="FirstParagraph"/>
      </w:pPr>
      <w:r>
        <w:t xml:space="preserve">Pas d’informations disponible.</w:t>
      </w:r>
    </w:p>
    <w:bookmarkEnd w:id="55"/>
    <w:bookmarkEnd w:id="56"/>
    <w:bookmarkEnd w:id="57"/>
    <w:bookmarkStart w:id="58" w:name="X45ad37046213581a41a58cd8a8dba04c2f3aa9c"/>
    <w:p>
      <w:pPr>
        <w:pStyle w:val="Heading2"/>
      </w:pPr>
      <w:r>
        <w:t xml:space="preserve">Protections individuelles et collectives à envisager</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202"/>
        <w:gridCol w:w="3717"/>
      </w:tblGrid>
      <w:tr>
        <w:trPr>
          <w:tblHeader w:val="on"/>
        </w:trPr>
        <w:tc>
          <w:tcPr/>
          <w:p>
            <w:pPr>
              <w:pStyle w:val="Compact"/>
              <w:rPr>
                <w:sz w:val="20"/>
                <w:szCs w:val="20"/>
              </w:rPr>
            </w:pPr>
            <w:r>
              <w:rPr>
                <w:sz w:val="20"/>
                <w:szCs w:val="20"/>
              </w:rPr>
              <w:t xml:space="preserve">Zones à protéger</w:t>
            </w:r>
          </w:p>
        </w:tc>
        <w:tc>
          <w:tcPr/>
          <w:p>
            <w:pPr>
              <w:pStyle w:val="Compact"/>
              <w:rPr>
                <w:sz w:val="20"/>
                <w:szCs w:val="20"/>
              </w:rPr>
            </w:pPr>
            <w:r>
              <w:rPr>
                <w:sz w:val="20"/>
                <w:szCs w:val="20"/>
              </w:rPr>
              <w:t xml:space="preserve">Mesures à envisager</w:t>
            </w:r>
          </w:p>
        </w:tc>
      </w:tr>
      <w:tr>
        <w:tc>
          <w:tcPr/>
          <w:p>
            <w:pPr>
              <w:pStyle w:val="Compact"/>
              <w:rPr>
                <w:sz w:val="20"/>
                <w:szCs w:val="20"/>
              </w:rPr>
            </w:pPr>
            <w:r>
              <w:rPr>
                <w:sz w:val="20"/>
                <w:szCs w:val="20"/>
              </w:rPr>
              <w:t xml:space="preserve">Mains</w:t>
            </w:r>
          </w:p>
        </w:tc>
        <w:tc>
          <w:tcPr/>
          <w:p>
            <w:pPr>
              <w:pStyle w:val="Compact"/>
              <w:rPr>
                <w:sz w:val="20"/>
                <w:szCs w:val="20"/>
              </w:rPr>
            </w:pPr>
            <w:r>
              <w:rPr>
                <w:sz w:val="20"/>
                <w:szCs w:val="20"/>
              </w:rPr>
              <w:t xml:space="preserve">Gants de protection • Utiliser des gants conformes à la norme EN 374.</w:t>
            </w:r>
            <w:r>
              <w:rPr>
                <w:sz w:val="20"/>
                <w:szCs w:val="20"/>
              </w:rPr>
              <w:t xml:space="preserve">• Types suggérés:</w:t>
            </w:r>
            <w:r>
              <w:rPr>
                <w:sz w:val="20"/>
                <w:szCs w:val="20"/>
              </w:rPr>
              <w:t xml:space="preserve"> </w:t>
            </w:r>
            <w:r>
              <w:rPr>
                <w:sz w:val="20"/>
                <w:szCs w:val="20"/>
              </w:rPr>
              <w:t xml:space="preserve"> – Caoutchouc nitrile (épaisseur: 0,4 mm)</w:t>
            </w:r>
            <w:r>
              <w:rPr>
                <w:sz w:val="20"/>
                <w:szCs w:val="20"/>
              </w:rPr>
              <w:t xml:space="preserve"> </w:t>
            </w:r>
            <w:r>
              <w:rPr>
                <w:sz w:val="20"/>
                <w:szCs w:val="20"/>
              </w:rPr>
              <w:t xml:space="preserve"> – PVC (épaisseur: 0,7 mm)</w:t>
            </w:r>
            <w:r>
              <w:rPr>
                <w:sz w:val="20"/>
                <w:szCs w:val="20"/>
              </w:rPr>
              <w:t xml:space="preserve"> </w:t>
            </w:r>
            <w:r>
              <w:rPr>
                <w:sz w:val="20"/>
                <w:szCs w:val="20"/>
              </w:rPr>
              <w:t xml:space="preserve"> – Néoprène (épaisseur: 0,4 mm)</w:t>
            </w:r>
            <w:r>
              <w:rPr>
                <w:sz w:val="20"/>
                <w:szCs w:val="20"/>
              </w:rPr>
              <w:t xml:space="preserve"> </w:t>
            </w:r>
            <w:r>
              <w:rPr>
                <w:sz w:val="20"/>
                <w:szCs w:val="20"/>
              </w:rPr>
              <w:t xml:space="preserve">• La durée d’utilisation doit être conforme aux recommandations du fabricant, car la résistance à la pénétration dépend de la fréquence, de la durée de contact, de la température et des agents chimiques.</w:t>
            </w:r>
          </w:p>
        </w:tc>
      </w:tr>
      <w:tr>
        <w:tc>
          <w:tcPr/>
          <w:p>
            <w:pPr>
              <w:pStyle w:val="Compact"/>
              <w:rPr>
                <w:sz w:val="20"/>
                <w:szCs w:val="20"/>
              </w:rPr>
            </w:pPr>
            <w:r>
              <w:rPr>
                <w:sz w:val="20"/>
                <w:szCs w:val="20"/>
              </w:rPr>
              <w:t xml:space="preserve">Yeux</w:t>
            </w:r>
          </w:p>
        </w:tc>
        <w:tc>
          <w:tcPr/>
          <w:p>
            <w:pPr>
              <w:pStyle w:val="Compact"/>
              <w:rPr>
                <w:sz w:val="20"/>
                <w:szCs w:val="20"/>
              </w:rPr>
            </w:pPr>
            <w:r>
              <w:rPr>
                <w:sz w:val="20"/>
                <w:szCs w:val="20"/>
              </w:rPr>
              <w:t xml:space="preserve">Protection des yeux • Lunettes de sécurité avec protections latérales, approuvées selon EN 166.</w:t>
            </w:r>
            <w:r>
              <w:rPr>
                <w:sz w:val="20"/>
                <w:szCs w:val="20"/>
              </w:rPr>
              <w:t xml:space="preserve">• Pour des volumes importants, un écran facial doit être utilisé.</w:t>
            </w:r>
          </w:p>
        </w:tc>
      </w:tr>
      <w:tr>
        <w:tc>
          <w:tcPr/>
          <w:p>
            <w:pPr>
              <w:pStyle w:val="Compact"/>
              <w:rPr>
                <w:sz w:val="20"/>
                <w:szCs w:val="20"/>
              </w:rPr>
            </w:pPr>
            <w:r>
              <w:rPr>
                <w:sz w:val="20"/>
                <w:szCs w:val="20"/>
              </w:rPr>
              <w:t xml:space="preserve">Peau</w:t>
            </w:r>
          </w:p>
        </w:tc>
        <w:tc>
          <w:tcPr/>
          <w:p>
            <w:pPr>
              <w:pStyle w:val="Compact"/>
              <w:rPr>
                <w:sz w:val="20"/>
                <w:szCs w:val="20"/>
              </w:rPr>
            </w:pPr>
            <w:r>
              <w:rPr>
                <w:sz w:val="20"/>
                <w:szCs w:val="20"/>
              </w:rPr>
              <w:t xml:space="preserve">Gants de protection • Utiliser des gants conformes à la norme EN 374.</w:t>
            </w:r>
            <w:r>
              <w:rPr>
                <w:sz w:val="20"/>
                <w:szCs w:val="20"/>
              </w:rPr>
              <w:t xml:space="preserve">• Types suggérés:</w:t>
            </w:r>
            <w:r>
              <w:rPr>
                <w:sz w:val="20"/>
                <w:szCs w:val="20"/>
              </w:rPr>
              <w:t xml:space="preserve"> </w:t>
            </w:r>
            <w:r>
              <w:rPr>
                <w:sz w:val="20"/>
                <w:szCs w:val="20"/>
              </w:rPr>
              <w:t xml:space="preserve"> – Caoutchouc nitrile (épaisseur: 0,4 mm)</w:t>
            </w:r>
            <w:r>
              <w:rPr>
                <w:sz w:val="20"/>
                <w:szCs w:val="20"/>
              </w:rPr>
              <w:t xml:space="preserve"> </w:t>
            </w:r>
            <w:r>
              <w:rPr>
                <w:sz w:val="20"/>
                <w:szCs w:val="20"/>
              </w:rPr>
              <w:t xml:space="preserve"> – PVC (épaisseur: 0,7 mm)</w:t>
            </w:r>
            <w:r>
              <w:rPr>
                <w:sz w:val="20"/>
                <w:szCs w:val="20"/>
              </w:rPr>
              <w:t xml:space="preserve"> </w:t>
            </w:r>
            <w:r>
              <w:rPr>
                <w:sz w:val="20"/>
                <w:szCs w:val="20"/>
              </w:rPr>
              <w:t xml:space="preserve"> – Néoprène (épaisseur: 0,4 mm)</w:t>
            </w:r>
            <w:r>
              <w:rPr>
                <w:sz w:val="20"/>
                <w:szCs w:val="20"/>
              </w:rPr>
              <w:t xml:space="preserve"> </w:t>
            </w:r>
            <w:r>
              <w:rPr>
                <w:sz w:val="20"/>
                <w:szCs w:val="20"/>
              </w:rPr>
              <w:t xml:space="preserve">• La durée d’utilisation doit être conforme aux recommandations du fabricant, car la résistance à la pénétration dépend de la fréquence, de la durée de contact, de la température et des agents chimiques.</w:t>
            </w:r>
          </w:p>
        </w:tc>
      </w:tr>
      <w:tr>
        <w:tc>
          <w:tcPr/>
          <w:p>
            <w:pPr>
              <w:pStyle w:val="Compact"/>
              <w:rPr>
                <w:sz w:val="20"/>
                <w:szCs w:val="20"/>
              </w:rPr>
            </w:pPr>
            <w:r>
              <w:rPr>
                <w:sz w:val="20"/>
                <w:szCs w:val="20"/>
              </w:rPr>
              <w:t xml:space="preserve">Système respiratoire</w:t>
            </w:r>
          </w:p>
        </w:tc>
        <w:tc>
          <w:tcPr/>
          <w:p>
            <w:pPr>
              <w:pStyle w:val="Compact"/>
              <w:rPr>
                <w:sz w:val="20"/>
                <w:szCs w:val="20"/>
              </w:rPr>
            </w:pPr>
            <w:r>
              <w:rPr>
                <w:sz w:val="20"/>
                <w:szCs w:val="20"/>
              </w:rPr>
              <w:t xml:space="preserve">Protection respiratoire • Inutile dans les conditions normales d’utilisation.</w:t>
            </w:r>
          </w:p>
        </w:tc>
      </w:tr>
      <w:tr>
        <w:tc>
          <w:tcPr/>
          <w:p>
            <w:pPr>
              <w:pStyle w:val="Compact"/>
              <w:rPr>
                <w:sz w:val="20"/>
                <w:szCs w:val="20"/>
              </w:rPr>
            </w:pPr>
            <w:r>
              <w:rPr>
                <w:sz w:val="20"/>
                <w:szCs w:val="20"/>
              </w:rPr>
              <w:t xml:space="preserve">Corps</w:t>
            </w:r>
          </w:p>
        </w:tc>
        <w:tc>
          <w:tcPr/>
          <w:p>
            <w:pPr>
              <w:pStyle w:val="Compact"/>
              <w:rPr>
                <w:sz w:val="20"/>
                <w:szCs w:val="20"/>
              </w:rPr>
            </w:pPr>
            <w:r>
              <w:rPr>
                <w:sz w:val="20"/>
                <w:szCs w:val="20"/>
              </w:rPr>
              <w:t xml:space="preserve">Vêtements de protection / Combinaisons • Non spécifiquement détaillés dans la section 8, mais l’usage d’un équipement de protection individuelle (EPI) est requis.</w:t>
            </w:r>
          </w:p>
        </w:tc>
      </w:tr>
    </w:tbl>
    <w:bookmarkEnd w:id="58"/>
    <w:bookmarkStart w:id="59" w:name="Xc141b1b6429233fc1a5306592e7c0023f190cfe"/>
    <w:p>
      <w:pPr>
        <w:pStyle w:val="Heading2"/>
      </w:pPr>
      <w:r>
        <w:t xml:space="preserve">Conditions de stockage et de manipulation à envisager</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009"/>
        <w:gridCol w:w="4910"/>
      </w:tblGrid>
      <w:tr>
        <w:trPr>
          <w:tblHeader w:val="on"/>
        </w:trPr>
        <w:tc>
          <w:tcPr/>
          <w:p>
            <w:pPr>
              <w:pStyle w:val="Compact"/>
              <w:rPr>
                <w:sz w:val="20"/>
                <w:szCs w:val="20"/>
              </w:rPr>
            </w:pPr>
            <w:r>
              <w:rPr>
                <w:sz w:val="20"/>
                <w:szCs w:val="20"/>
              </w:rPr>
              <w:t xml:space="preserve">Zones à protéger</w:t>
            </w:r>
          </w:p>
        </w:tc>
        <w:tc>
          <w:tcPr/>
          <w:p>
            <w:pPr>
              <w:pStyle w:val="Compact"/>
              <w:rPr>
                <w:sz w:val="20"/>
                <w:szCs w:val="20"/>
              </w:rPr>
            </w:pPr>
            <w:r>
              <w:rPr>
                <w:sz w:val="20"/>
                <w:szCs w:val="20"/>
              </w:rPr>
              <w:t xml:space="preserve">Mesures à envisager</w:t>
            </w:r>
          </w:p>
        </w:tc>
      </w:tr>
      <w:tr>
        <w:tc>
          <w:tcPr/>
          <w:p>
            <w:pPr>
              <w:pStyle w:val="Compact"/>
              <w:rPr>
                <w:sz w:val="20"/>
                <w:szCs w:val="20"/>
              </w:rPr>
            </w:pPr>
            <w:r>
              <w:rPr>
                <w:sz w:val="20"/>
                <w:szCs w:val="20"/>
              </w:rPr>
              <w:t xml:space="preserve">Précautions à prendre pour une manipulation sans danger</w:t>
            </w:r>
          </w:p>
        </w:tc>
        <w:tc>
          <w:tcPr/>
          <w:p>
            <w:pPr>
              <w:pStyle w:val="Compact"/>
              <w:rPr>
                <w:sz w:val="20"/>
                <w:szCs w:val="20"/>
              </w:rPr>
            </w:pPr>
            <w:r>
              <w:rPr>
                <w:sz w:val="20"/>
                <w:szCs w:val="20"/>
              </w:rPr>
              <w:t xml:space="preserve">Éviter le contact avec la peau, les yeux et les vêtements. Éviter de respirer les vapeurs ou le brouillard. Ne pas manger, boire ou fumer en manipulant ce produit. Assurer une ventilation adéquate.</w:t>
            </w:r>
          </w:p>
        </w:tc>
      </w:tr>
      <w:tr>
        <w:tc>
          <w:tcPr/>
          <w:p>
            <w:pPr>
              <w:pStyle w:val="Compact"/>
              <w:rPr>
                <w:sz w:val="20"/>
                <w:szCs w:val="20"/>
              </w:rPr>
            </w:pPr>
            <w:r>
              <w:rPr>
                <w:sz w:val="20"/>
                <w:szCs w:val="20"/>
              </w:rPr>
              <w:t xml:space="preserve">Conditions d’un stockage sûr, y compris d’éventuelles incompatibilités</w:t>
            </w:r>
          </w:p>
        </w:tc>
        <w:tc>
          <w:tcPr/>
          <w:p>
            <w:pPr>
              <w:pStyle w:val="Compact"/>
              <w:rPr>
                <w:sz w:val="20"/>
                <w:szCs w:val="20"/>
              </w:rPr>
            </w:pPr>
            <w:r>
              <w:rPr>
                <w:sz w:val="20"/>
                <w:szCs w:val="20"/>
              </w:rPr>
              <w:t xml:space="preserve">Conserver dans le conteneur original. Garder les récipients bien fermés dans un endroit sec, frais et bien ventilé.</w:t>
            </w:r>
          </w:p>
        </w:tc>
      </w:tr>
      <w:tr>
        <w:tc>
          <w:tcPr/>
          <w:p>
            <w:pPr>
              <w:pStyle w:val="Compact"/>
              <w:rPr>
                <w:sz w:val="20"/>
                <w:szCs w:val="20"/>
              </w:rPr>
            </w:pPr>
            <w:r>
              <w:rPr>
                <w:sz w:val="20"/>
                <w:szCs w:val="20"/>
              </w:rPr>
              <w:t xml:space="preserve">Utilisation(s) finale(s) particulière(s)</w:t>
            </w:r>
          </w:p>
        </w:tc>
        <w:tc>
          <w:tcPr/>
          <w:p>
            <w:pPr>
              <w:pStyle w:val="Compact"/>
              <w:rPr>
                <w:sz w:val="20"/>
                <w:szCs w:val="20"/>
              </w:rPr>
            </w:pPr>
            <w:r>
              <w:rPr>
                <w:sz w:val="20"/>
                <w:szCs w:val="20"/>
              </w:rPr>
              <w:t xml:space="preserve">Nettoyant du film routier.</w:t>
            </w:r>
          </w:p>
        </w:tc>
      </w:tr>
    </w:tbl>
    <w:bookmarkEnd w:id="59"/>
    <w:bookmarkEnd w:id="60"/>
    <w:sectPr w:rsidR="00E0006B">
      <w:pgSz w:h="15840" w:w="12240"/>
      <w:pgMar w:bottom="1440" w:footer="720" w:gutter="0" w:header="720" w:left="1440" w:right="1440" w:top="1440"/>
      <w:cols w:space="720"/>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 New Roman (Headings CS)">
    <w:altName w:val="Times New Roman"/>
    <w:panose1 w:val="020B0604020202020204"/>
    <w:charset w:val="00"/>
    <w:family w:val="roman"/>
    <w:pitch w:val="default"/>
  </w:font>
  <w:font w:name="Aptos Display">
    <w:panose1 w:val="020B0004020202020204"/>
    <w:charset w:val="00"/>
    <w:family w:val="swiss"/>
    <w:pitch w:val="variable"/>
    <w:sig w:usb0="20000287" w:usb1="00000003"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1B169FA4"/>
    <w:lvl w:ilvl="0">
      <w:numFmt w:val="bullet"/>
      <w:lvlText w:val=" "/>
      <w:lvlJc w:val="left"/>
      <w:pPr>
        <w:ind w:hanging="360" w:left="720"/>
      </w:pPr>
    </w:lvl>
    <w:lvl w:ilvl="1">
      <w:numFmt w:val="bullet"/>
      <w:lvlText w:val=" "/>
      <w:lvlJc w:val="left"/>
      <w:pPr>
        <w:ind w:hanging="360" w:left="1440"/>
      </w:pPr>
    </w:lvl>
    <w:lvl w:ilvl="2">
      <w:numFmt w:val="bullet"/>
      <w:lvlText w:val=" "/>
      <w:lvlJc w:val="left"/>
      <w:pPr>
        <w:ind w:hanging="360" w:left="2160"/>
      </w:pPr>
    </w:lvl>
    <w:lvl w:ilvl="3">
      <w:numFmt w:val="bullet"/>
      <w:lvlText w:val=" "/>
      <w:lvlJc w:val="left"/>
      <w:pPr>
        <w:ind w:hanging="360" w:left="2880"/>
      </w:pPr>
    </w:lvl>
    <w:lvl w:ilvl="4">
      <w:numFmt w:val="bullet"/>
      <w:lvlText w:val=" "/>
      <w:lvlJc w:val="left"/>
      <w:pPr>
        <w:ind w:hanging="360" w:left="3600"/>
      </w:pPr>
    </w:lvl>
    <w:lvl w:ilvl="5">
      <w:numFmt w:val="bullet"/>
      <w:lvlText w:val=" "/>
      <w:lvlJc w:val="left"/>
      <w:pPr>
        <w:ind w:hanging="360" w:left="4320"/>
      </w:pPr>
    </w:lvl>
    <w:lvl w:ilvl="6">
      <w:numFmt w:val="bullet"/>
      <w:lvlText w:val=" "/>
      <w:lvlJc w:val="left"/>
      <w:pPr>
        <w:ind w:hanging="360" w:left="5040"/>
      </w:pPr>
    </w:lvl>
    <w:lvl w:ilvl="7">
      <w:numFmt w:val="bullet"/>
      <w:lvlText w:val=" "/>
      <w:lvlJc w:val="left"/>
      <w:pPr>
        <w:ind w:hanging="360" w:left="5760"/>
      </w:pPr>
    </w:lvl>
    <w:lvl w:ilvl="8">
      <w:numFmt w:val="bullet"/>
      <w:lvlText w:val=" "/>
      <w:lvlJc w:val="left"/>
      <w:pPr>
        <w:ind w:hanging="360" w:left="6480"/>
      </w:pPr>
    </w:lvl>
  </w:abstractNum>
  <w:abstractNum w15:restartNumberingAfterBreak="0" w:abstractNumId="1">
    <w:nsid w:val="0000A991"/>
    <w:multiLevelType w:val="multilevel"/>
    <w:tmpl w:val="1892DF90"/>
    <w:lvl w:ilvl="0">
      <w:numFmt w:val="bullet"/>
      <w:lvlText w:val=""/>
      <w:lvlJc w:val="left"/>
      <w:pPr>
        <w:ind w:hanging="360" w:left="720"/>
      </w:pPr>
      <w:rPr>
        <w:rFonts w:ascii="Symbol" w:cs="Symbol" w:hAnsi="Symbol" w:hint="default"/>
      </w:rPr>
    </w:lvl>
    <w:lvl w:ilvl="1">
      <w:numFmt w:val="bullet"/>
      <w:lvlText w:val="o"/>
      <w:lvlJc w:val="left"/>
      <w:pPr>
        <w:ind w:hanging="360" w:left="1440"/>
      </w:pPr>
      <w:rPr>
        <w:rFonts w:ascii="Courier New" w:cs="Courier New" w:hAnsi="Courier New" w:hint="default"/>
      </w:rPr>
    </w:lvl>
    <w:lvl w:ilvl="2">
      <w:numFmt w:val="bullet"/>
      <w:lvlText w:val=""/>
      <w:lvlJc w:val="left"/>
      <w:pPr>
        <w:ind w:hanging="360" w:left="2160"/>
      </w:pPr>
      <w:rPr>
        <w:rFonts w:ascii="Wingdings" w:cs="Wingdings" w:hAnsi="Wingdings" w:hint="default"/>
      </w:rPr>
    </w:lvl>
    <w:lvl w:ilvl="3">
      <w:numFmt w:val="bullet"/>
      <w:lvlText w:val=""/>
      <w:lvlJc w:val="left"/>
      <w:pPr>
        <w:ind w:hanging="360" w:left="2880"/>
      </w:pPr>
      <w:rPr>
        <w:rFonts w:ascii="Symbol" w:cs="Symbol" w:hAnsi="Symbol" w:hint="default"/>
      </w:rPr>
    </w:lvl>
    <w:lvl w:ilvl="4">
      <w:numFmt w:val="bullet"/>
      <w:lvlText w:val="o"/>
      <w:lvlJc w:val="left"/>
      <w:pPr>
        <w:ind w:hanging="360" w:left="3600"/>
      </w:pPr>
      <w:rPr>
        <w:rFonts w:ascii="Courier New" w:cs="Courier New" w:hAnsi="Courier New" w:hint="default"/>
      </w:rPr>
    </w:lvl>
    <w:lvl w:ilvl="5">
      <w:numFmt w:val="bullet"/>
      <w:lvlText w:val=""/>
      <w:lvlJc w:val="left"/>
      <w:pPr>
        <w:ind w:hanging="360" w:left="4320"/>
      </w:pPr>
      <w:rPr>
        <w:rFonts w:ascii="Wingdings" w:cs="Wingdings" w:hAnsi="Wingdings" w:hint="default"/>
      </w:rPr>
    </w:lvl>
    <w:lvl w:ilvl="6">
      <w:numFmt w:val="bullet"/>
      <w:lvlText w:val=""/>
      <w:lvlJc w:val="left"/>
      <w:pPr>
        <w:ind w:hanging="360" w:left="5040"/>
      </w:pPr>
      <w:rPr>
        <w:rFonts w:ascii="Symbol" w:cs="Symbol" w:hAnsi="Symbol" w:hint="default"/>
      </w:rPr>
    </w:lvl>
    <w:lvl w:ilvl="7">
      <w:numFmt w:val="bullet"/>
      <w:lvlText w:val="o"/>
      <w:lvlJc w:val="left"/>
      <w:pPr>
        <w:ind w:hanging="360" w:left="5760"/>
      </w:pPr>
      <w:rPr>
        <w:rFonts w:ascii="Courier New" w:cs="Courier New" w:hAnsi="Courier New" w:hint="default"/>
      </w:rPr>
    </w:lvl>
    <w:lvl w:ilvl="8">
      <w:numFmt w:val="bullet"/>
      <w:lvlText w:val=""/>
      <w:lvlJc w:val="left"/>
      <w:pPr>
        <w:ind w:hanging="360" w:left="6480"/>
      </w:pPr>
      <w:rPr>
        <w:rFonts w:ascii="Wingdings" w:cs="Wingdings" w:hAnsi="Wingdings" w:hint="default"/>
      </w:rPr>
    </w:lvl>
  </w:abstractNum>
  <w:abstractNum w15:restartNumberingAfterBreak="0" w:abstractNumId="2">
    <w:nsid w:val="04352475"/>
    <w:multiLevelType w:val="multilevel"/>
    <w:tmpl w:val="0B5C3C7C"/>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15:restartNumberingAfterBreak="0" w:abstractNumId="3">
    <w:nsid w:val="27580FEE"/>
    <w:multiLevelType w:val="multilevel"/>
    <w:tmpl w:val="9D544CDC"/>
    <w:styleLink w:val="CurrentList2"/>
    <w:lvl w:ilvl="0">
      <w:start w:val="1"/>
      <w:numFmt w:val="decimal"/>
      <w:isLgl/>
      <w:lvlText w:val="%1."/>
      <w:lvlJc w:val="left"/>
      <w:pPr>
        <w:ind w:hanging="360" w:left="360"/>
      </w:pPr>
      <w:rPr>
        <w:rFonts w:hint="default"/>
      </w:rPr>
    </w:lvl>
    <w:lvl w:ilvl="1">
      <w:start w:val="1"/>
      <w:numFmt w:val="decimal"/>
      <w:lvlText w:val="%1.%2."/>
      <w:lvlJc w:val="left"/>
      <w:pPr>
        <w:ind w:hanging="432" w:left="792"/>
      </w:pPr>
      <w:rPr>
        <w:rFonts w:hint="default"/>
      </w:rPr>
    </w:lvl>
    <w:lvl w:ilvl="2">
      <w:start w:val="1"/>
      <w:numFmt w:val="decimal"/>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15:restartNumberingAfterBreak="0" w:abstractNumId="4">
    <w:nsid w:val="400A04EB"/>
    <w:multiLevelType w:val="hybridMultilevel"/>
    <w:tmpl w:val="C7FEDEBC"/>
    <w:lvl w:ilvl="0" w:tplc="7876CDB4">
      <w:numFmt w:val="bullet"/>
      <w:lvlText w:val="-"/>
      <w:lvlJc w:val="left"/>
      <w:pPr>
        <w:ind w:hanging="360" w:left="720"/>
      </w:pPr>
      <w:rPr>
        <w:rFonts w:ascii="Calibri Light" w:cstheme="minorBidi" w:eastAsiaTheme="minorHAnsi" w:hAnsi="Calibri Light" w:hint="default"/>
      </w:rPr>
    </w:lvl>
    <w:lvl w:ilvl="1" w:tentative="1" w:tplc="04090003">
      <w:start w:val="1"/>
      <w:numFmt w:val="bullet"/>
      <w:lvlText w:val="o"/>
      <w:lvlJc w:val="left"/>
      <w:pPr>
        <w:ind w:hanging="360" w:left="1440"/>
      </w:pPr>
      <w:rPr>
        <w:rFonts w:ascii="Courier New" w:cs="Courier New" w:hAnsi="Courier New" w:hint="default"/>
      </w:rPr>
    </w:lvl>
    <w:lvl w:ilvl="2" w:tentative="1" w:tplc="04090005">
      <w:start w:val="1"/>
      <w:numFmt w:val="bullet"/>
      <w:lvlText w:val=""/>
      <w:lvlJc w:val="left"/>
      <w:pPr>
        <w:ind w:hanging="360" w:left="2160"/>
      </w:pPr>
      <w:rPr>
        <w:rFonts w:ascii="Wingdings" w:hAnsi="Wingdings" w:hint="default"/>
      </w:rPr>
    </w:lvl>
    <w:lvl w:ilvl="3" w:tentative="1" w:tplc="04090001">
      <w:start w:val="1"/>
      <w:numFmt w:val="bullet"/>
      <w:lvlText w:val=""/>
      <w:lvlJc w:val="left"/>
      <w:pPr>
        <w:ind w:hanging="360" w:left="2880"/>
      </w:pPr>
      <w:rPr>
        <w:rFonts w:ascii="Symbol" w:hAnsi="Symbol" w:hint="default"/>
      </w:rPr>
    </w:lvl>
    <w:lvl w:ilvl="4" w:tentative="1" w:tplc="04090003">
      <w:start w:val="1"/>
      <w:numFmt w:val="bullet"/>
      <w:lvlText w:val="o"/>
      <w:lvlJc w:val="left"/>
      <w:pPr>
        <w:ind w:hanging="360" w:left="3600"/>
      </w:pPr>
      <w:rPr>
        <w:rFonts w:ascii="Courier New" w:cs="Courier New" w:hAnsi="Courier New" w:hint="default"/>
      </w:rPr>
    </w:lvl>
    <w:lvl w:ilvl="5" w:tentative="1" w:tplc="04090005">
      <w:start w:val="1"/>
      <w:numFmt w:val="bullet"/>
      <w:lvlText w:val=""/>
      <w:lvlJc w:val="left"/>
      <w:pPr>
        <w:ind w:hanging="360" w:left="4320"/>
      </w:pPr>
      <w:rPr>
        <w:rFonts w:ascii="Wingdings" w:hAnsi="Wingdings" w:hint="default"/>
      </w:rPr>
    </w:lvl>
    <w:lvl w:ilvl="6" w:tentative="1" w:tplc="04090001">
      <w:start w:val="1"/>
      <w:numFmt w:val="bullet"/>
      <w:lvlText w:val=""/>
      <w:lvlJc w:val="left"/>
      <w:pPr>
        <w:ind w:hanging="360" w:left="5040"/>
      </w:pPr>
      <w:rPr>
        <w:rFonts w:ascii="Symbol" w:hAnsi="Symbol" w:hint="default"/>
      </w:rPr>
    </w:lvl>
    <w:lvl w:ilvl="7" w:tentative="1" w:tplc="04090003">
      <w:start w:val="1"/>
      <w:numFmt w:val="bullet"/>
      <w:lvlText w:val="o"/>
      <w:lvlJc w:val="left"/>
      <w:pPr>
        <w:ind w:hanging="360" w:left="5760"/>
      </w:pPr>
      <w:rPr>
        <w:rFonts w:ascii="Courier New" w:cs="Courier New" w:hAnsi="Courier New" w:hint="default"/>
      </w:rPr>
    </w:lvl>
    <w:lvl w:ilvl="8" w:tentative="1" w:tplc="04090005">
      <w:start w:val="1"/>
      <w:numFmt w:val="bullet"/>
      <w:lvlText w:val=""/>
      <w:lvlJc w:val="left"/>
      <w:pPr>
        <w:ind w:hanging="360" w:left="6480"/>
      </w:pPr>
      <w:rPr>
        <w:rFonts w:ascii="Wingdings" w:hAnsi="Wingdings" w:hint="default"/>
      </w:rPr>
    </w:lvl>
  </w:abstractNum>
  <w:abstractNum w15:restartNumberingAfterBreak="0" w:abstractNumId="5">
    <w:nsid w:val="50E51DAE"/>
    <w:multiLevelType w:val="multilevel"/>
    <w:tmpl w:val="563A878E"/>
    <w:styleLink w:val="CurrentList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15:restartNumberingAfterBreak="0" w:abstractNumId="6">
    <w:nsid w:val="52107C0B"/>
    <w:multiLevelType w:val="multilevel"/>
    <w:tmpl w:val="BBB8FE78"/>
    <w:lvl w:ilvl="0">
      <w:start w:val="1"/>
      <w:numFmt w:val="decimal"/>
      <w:isLgl/>
      <w:lvlText w:val="%1."/>
      <w:lvlJc w:val="left"/>
      <w:pPr>
        <w:ind w:hanging="360" w:left="360"/>
      </w:pPr>
      <w:rPr>
        <w:rFonts w:hint="default"/>
      </w:rPr>
    </w:lvl>
    <w:lvl w:ilvl="1">
      <w:start w:val="1"/>
      <w:numFmt w:val="decimal"/>
      <w:lvlText w:val="%1.%2."/>
      <w:lvlJc w:val="left"/>
      <w:pPr>
        <w:ind w:hanging="432" w:left="792"/>
      </w:pPr>
      <w:rPr>
        <w:rFonts w:hint="default"/>
      </w:rPr>
    </w:lvl>
    <w:lvl w:ilvl="2">
      <w:start w:val="1"/>
      <w:numFmt w:val="decimal"/>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15:restartNumberingAfterBreak="0" w:abstractNumId="7">
    <w:nsid w:val="7CD12584"/>
    <w:multiLevelType w:val="multilevel"/>
    <w:tmpl w:val="06BCBE18"/>
    <w:lvl w:ilvl="0">
      <w:start w:val="1"/>
      <w:numFmt w:val="decimal"/>
      <w:pStyle w:val="Heading1"/>
      <w:isLgl/>
      <w:lvlText w:val="%1."/>
      <w:lvlJc w:val="left"/>
      <w:pPr>
        <w:ind w:hanging="360" w:left="360"/>
      </w:pPr>
      <w:rPr>
        <w:rFonts w:hint="default"/>
      </w:rPr>
    </w:lvl>
    <w:lvl w:ilvl="1">
      <w:start w:val="1"/>
      <w:numFmt w:val="decimal"/>
      <w:pStyle w:val="Heading2"/>
      <w:lvlText w:val="%1.%2."/>
      <w:lvlJc w:val="left"/>
      <w:pPr>
        <w:ind w:hanging="432" w:left="792"/>
      </w:pPr>
      <w:rPr>
        <w:rFonts w:hint="default"/>
      </w:rPr>
    </w:lvl>
    <w:lvl w:ilvl="2">
      <w:start w:val="1"/>
      <w:numFmt w:val="decimal"/>
      <w:pStyle w:val="Heading3"/>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abstractNumId="990">
    <w:nsid w:val="0000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1">
    <w:nsid w:val="0000A991"/>
    <w:multiLevelType w:val="multilevel"/>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num w16cid:durableId="1720471213" w:numId="1">
    <w:abstractNumId w:val="2"/>
  </w:num>
  <w:num w16cid:durableId="1648320710" w:numId="2">
    <w:abstractNumId w:val="5"/>
  </w:num>
  <w:num w16cid:durableId="2017804043" w:numId="3">
    <w:abstractNumId w:val="6"/>
  </w:num>
  <w:num w16cid:durableId="1651909906" w:numId="4">
    <w:abstractNumId w:val="3"/>
  </w:num>
  <w:num w16cid:durableId="521095555" w:numId="5">
    <w:abstractNumId w:val="7"/>
  </w:num>
  <w:num w16cid:durableId="817499995" w:numId="6">
    <w:abstractNumId w:val="4"/>
  </w:num>
  <w:num w16cid:durableId="1906332917" w:numId="7">
    <w:abstractNumId w:val="0"/>
  </w:num>
  <w:num w16cid:durableId="1745058132" w:numId="8">
    <w:abstractNumId w:val="1"/>
  </w:num>
  <w:num w16cid:durableId="1817255597" w:numId="9">
    <w:abstractNumId w:val="1"/>
  </w:num>
  <w:num w16cid:durableId="172231987" w:numId="10">
    <w:abstractNumId w:val="1"/>
  </w:num>
  <w:num w16cid:durableId="92215818" w:numId="11">
    <w:abstractNumId w:val="1"/>
  </w:num>
  <w:num w16cid:durableId="1483934940" w:numId="12">
    <w:abstractNumId w:val="1"/>
  </w:num>
  <w:num w16cid:durableId="1150366971" w:numId="13">
    <w:abstractNumId w:val="1"/>
  </w:num>
  <w:num w16cid:durableId="1761292258" w:numId="14">
    <w:abstractNumId w:val="1"/>
  </w:num>
  <w:num w16cid:durableId="346903929" w:numId="15">
    <w:abstractNumId w:val="1"/>
  </w:num>
  <w:num w16cid:durableId="1559971392" w:numId="16">
    <w:abstractNumId w:val="1"/>
  </w:num>
  <w:num w16cid:durableId="517354298" w:numId="17">
    <w:abstractNumId w:val="1"/>
  </w:num>
  <w:num w16cid:durableId="833032575" w:numId="18">
    <w:abstractNumId w:val="1"/>
  </w: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1"/>
  </w:num>
  <w:num w:numId="1011">
    <w:abstractNumId w:val="991"/>
  </w:num>
  <w:num w:numId="1012">
    <w:abstractNumId w:val="991"/>
  </w:num>
  <w:num w:numId="1013">
    <w:abstractNumId w:val="991"/>
  </w:num>
  <w:num w:numId="1014">
    <w:abstractNumId w:val="991"/>
  </w:num>
  <w:num w:numId="1015">
    <w:abstractNumId w:val="991"/>
  </w:num>
  <w:num w:numId="1016">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60"/>
  <w:embedSystemFonts/>
  <w:proofState w:grammar="clean" w:spelling="clean"/>
  <w:stylePaneFormatFilter w:allStyles="0" w:alternateStyleNames="0" w:clearFormatting="1" w:customStyles="0" w:directFormattingOnNumbering="0" w:directFormattingOnParagraphs="0" w:directFormattingOnRuns="0" w:directFormattingOnTables="0" w:headingStyles="0" w:latentStyles="1" w:numberingStyles="0" w:stylesInUse="0" w:tableStyles="0" w:top3HeadingStyles="0" w:val="1004" w:visibleStyles="0"/>
  <w:doNotTrackMoves/>
  <w:defaultTabStop w:val="720"/>
  <w:defaultTableStyle w:val="TableGrid"/>
  <w:drawingGridHorizontalSpacing w:val="360"/>
  <w:drawingGridVerticalSpacing w:val="360"/>
  <w:displayHorizontalDrawingGridEvery w:val="0"/>
  <w:displayVerticalDrawingGridEvery w:val="0"/>
  <w:characterSpacingControl w:val="doNotCompress"/>
  <w:savePreviewPicture/>
  <w:footnotePr>
    <w:footnote w:id="-1"/>
    <w:footnote w:id="0"/>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D39"/>
    <w:rsid w:val="001509A7"/>
    <w:rsid w:val="00267AAB"/>
    <w:rsid w:val="003A690E"/>
    <w:rsid w:val="00414B90"/>
    <w:rsid w:val="004528CD"/>
    <w:rsid w:val="00526565"/>
    <w:rsid w:val="00541D66"/>
    <w:rsid w:val="00544B38"/>
    <w:rsid w:val="00565810"/>
    <w:rsid w:val="006148BD"/>
    <w:rsid w:val="00666DED"/>
    <w:rsid w:val="008165A3"/>
    <w:rsid w:val="00860E1D"/>
    <w:rsid w:val="008852B8"/>
    <w:rsid w:val="0094385A"/>
    <w:rsid w:val="00A1506E"/>
    <w:rsid w:val="00A64414"/>
    <w:rsid w:val="00AC12F5"/>
    <w:rsid w:val="00AD54C5"/>
    <w:rsid w:val="00B03303"/>
    <w:rsid w:val="00B31D39"/>
    <w:rsid w:val="00DE2473"/>
    <w:rsid w:val="00E0006B"/>
    <w:rsid w:val="00E218FB"/>
    <w:rsid w:val="00E820F7"/>
    <w:rsid w:val="00EB543D"/>
    <w:rsid w:val="00F41D15"/>
    <w:rsid w:val="00FA1C42"/>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HAnsi" w:hAnsiTheme="minorHAnsi"/>
        <w:kern w:val="2"/>
        <w:sz w:val="24"/>
        <w:szCs w:val="24"/>
        <w:lang w:bidi="ar-SA" w:eastAsia="en-US" w:val="en-US"/>
        <w14:ligatures w14:val="standardContextual"/>
      </w:rPr>
    </w:rPrDefault>
    <w:pPrDefault>
      <w:pPr>
        <w:spacing w:after="160" w:line="27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Normal" w:type="paragraph">
    <w:name w:val="Normal"/>
    <w:qFormat/>
    <w:rsid w:val="00B31D39"/>
    <w:rPr>
      <w:rFonts w:ascii="Calibri" w:hAnsi="Calibri"/>
    </w:rPr>
  </w:style>
  <w:style w:styleId="Heading1" w:type="paragraph">
    <w:name w:val="heading 1"/>
    <w:basedOn w:val="Normal"/>
    <w:next w:val="Normal"/>
    <w:link w:val="Heading1Char"/>
    <w:uiPriority w:val="9"/>
    <w:qFormat/>
    <w:rsid w:val="00B31D39"/>
    <w:pPr>
      <w:keepNext/>
      <w:keepLines/>
      <w:numPr>
        <w:numId w:val="5"/>
      </w:numPr>
      <w:spacing w:after="80" w:before="360"/>
      <w:outlineLvl w:val="0"/>
    </w:pPr>
    <w:rPr>
      <w:rFonts w:cstheme="majorBidi" w:eastAsiaTheme="majorEastAsia"/>
      <w:b/>
      <w:color w:themeColor="accent1" w:themeShade="BF" w:val="0F4761"/>
      <w:sz w:val="40"/>
      <w:szCs w:val="40"/>
    </w:rPr>
  </w:style>
  <w:style w:styleId="Heading2" w:type="paragraph">
    <w:name w:val="heading 2"/>
    <w:basedOn w:val="Heading1"/>
    <w:next w:val="Normal"/>
    <w:link w:val="Heading2Char"/>
    <w:uiPriority w:val="9"/>
    <w:unhideWhenUsed/>
    <w:qFormat/>
    <w:rsid w:val="00FA1C42"/>
    <w:pPr>
      <w:numPr>
        <w:ilvl w:val="1"/>
      </w:numPr>
      <w:spacing w:before="160"/>
      <w:ind w:left="432"/>
      <w:outlineLvl w:val="1"/>
    </w:pPr>
    <w:rPr>
      <w:sz w:val="32"/>
      <w:szCs w:val="32"/>
    </w:rPr>
  </w:style>
  <w:style w:styleId="Heading3" w:type="paragraph">
    <w:name w:val="heading 3"/>
    <w:basedOn w:val="Heading2"/>
    <w:next w:val="Normal"/>
    <w:link w:val="Heading3Char"/>
    <w:uiPriority w:val="9"/>
    <w:unhideWhenUsed/>
    <w:qFormat/>
    <w:rsid w:val="00FA1C42"/>
    <w:pPr>
      <w:numPr>
        <w:ilvl w:val="2"/>
      </w:numPr>
      <w:ind w:left="504"/>
      <w:outlineLvl w:val="2"/>
    </w:pPr>
    <w:rPr>
      <w:rFonts w:cs="Times New Roman (Headings CS)"/>
      <w:sz w:val="28"/>
      <w:szCs w:val="28"/>
    </w:rPr>
  </w:style>
  <w:style w:styleId="Heading4" w:type="paragraph">
    <w:name w:val="heading 4"/>
    <w:basedOn w:val="Normal"/>
    <w:next w:val="Normal"/>
    <w:link w:val="Heading4Char"/>
    <w:uiPriority w:val="9"/>
    <w:semiHidden/>
    <w:unhideWhenUsed/>
    <w:qFormat/>
    <w:rsid w:val="00B31D3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Normal"/>
    <w:link w:val="Heading5Char"/>
    <w:uiPriority w:val="9"/>
    <w:semiHidden/>
    <w:unhideWhenUsed/>
    <w:qFormat/>
    <w:rsid w:val="00B31D3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Normal"/>
    <w:link w:val="Heading6Char"/>
    <w:uiPriority w:val="9"/>
    <w:semiHidden/>
    <w:unhideWhenUsed/>
    <w:qFormat/>
    <w:rsid w:val="00B31D3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Normal"/>
    <w:link w:val="Heading7Char"/>
    <w:uiPriority w:val="9"/>
    <w:semiHidden/>
    <w:unhideWhenUsed/>
    <w:qFormat/>
    <w:rsid w:val="00B31D3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Normal"/>
    <w:link w:val="Heading8Char"/>
    <w:uiPriority w:val="9"/>
    <w:semiHidden/>
    <w:unhideWhenUsed/>
    <w:qFormat/>
    <w:rsid w:val="00B31D3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Normal"/>
    <w:link w:val="Heading9Char"/>
    <w:uiPriority w:val="9"/>
    <w:semiHidden/>
    <w:unhideWhenUsed/>
    <w:qFormat/>
    <w:rsid w:val="00B31D39"/>
    <w:pPr>
      <w:keepNext/>
      <w:keepLines/>
      <w:spacing w:after="0"/>
      <w:outlineLvl w:val="8"/>
    </w:pPr>
    <w:rPr>
      <w:rFonts w:cstheme="majorBidi" w:eastAsiaTheme="majorEastAsia"/>
      <w:color w:themeColor="text1" w:themeTint="D8" w:val="272727"/>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B31D39"/>
    <w:rPr>
      <w:rFonts w:ascii="Calibri" w:cstheme="majorBidi" w:eastAsiaTheme="majorEastAsia" w:hAnsi="Calibri"/>
      <w:b/>
      <w:color w:themeColor="accent1" w:themeShade="BF" w:val="0F4761"/>
      <w:sz w:val="40"/>
      <w:szCs w:val="40"/>
    </w:rPr>
  </w:style>
  <w:style w:customStyle="1" w:styleId="Heading2Char" w:type="character">
    <w:name w:val="Heading 2 Char"/>
    <w:basedOn w:val="DefaultParagraphFont"/>
    <w:link w:val="Heading2"/>
    <w:uiPriority w:val="9"/>
    <w:rsid w:val="00FA1C42"/>
    <w:rPr>
      <w:rFonts w:ascii="Calibri" w:cstheme="majorBidi" w:eastAsiaTheme="majorEastAsia" w:hAnsi="Calibri"/>
      <w:b/>
      <w:color w:themeColor="accent1" w:themeShade="BF" w:val="0F4761"/>
      <w:sz w:val="32"/>
      <w:szCs w:val="32"/>
    </w:rPr>
  </w:style>
  <w:style w:customStyle="1" w:styleId="Heading3Char" w:type="character">
    <w:name w:val="Heading 3 Char"/>
    <w:basedOn w:val="DefaultParagraphFont"/>
    <w:link w:val="Heading3"/>
    <w:uiPriority w:val="9"/>
    <w:rsid w:val="00FA1C42"/>
    <w:rPr>
      <w:rFonts w:ascii="Calibri" w:cs="Times New Roman (Headings CS)" w:eastAsiaTheme="majorEastAsia" w:hAnsi="Calibri"/>
      <w:b/>
      <w:color w:themeColor="accent1" w:themeShade="BF" w:val="0F4761"/>
      <w:sz w:val="28"/>
      <w:szCs w:val="28"/>
    </w:rPr>
  </w:style>
  <w:style w:customStyle="1" w:styleId="Heading4Char" w:type="character">
    <w:name w:val="Heading 4 Char"/>
    <w:basedOn w:val="DefaultParagraphFont"/>
    <w:link w:val="Heading4"/>
    <w:uiPriority w:val="9"/>
    <w:semiHidden/>
    <w:rsid w:val="00B31D3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B31D3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B31D3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B31D3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B31D3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B31D39"/>
    <w:rPr>
      <w:rFonts w:cstheme="majorBidi" w:eastAsiaTheme="majorEastAsia"/>
      <w:color w:themeColor="text1" w:themeTint="D8" w:val="272727"/>
    </w:rPr>
  </w:style>
  <w:style w:styleId="Title" w:type="paragraph">
    <w:name w:val="Title"/>
    <w:basedOn w:val="Normal"/>
    <w:next w:val="Normal"/>
    <w:link w:val="TitleChar"/>
    <w:uiPriority w:val="10"/>
    <w:qFormat/>
    <w:rsid w:val="00B31D39"/>
    <w:pPr>
      <w:spacing w:after="80" w:line="240" w:lineRule="auto"/>
      <w:contextualSpacing/>
    </w:pPr>
    <w:rPr>
      <w:rFonts w:asciiTheme="majorHAnsi" w:cstheme="majorBidi" w:eastAsiaTheme="majorEastAsia" w:hAnsiTheme="majorHAnsi"/>
      <w:spacing w:val="-10"/>
      <w:kern w:val="28"/>
      <w:sz w:val="56"/>
      <w:szCs w:val="56"/>
    </w:rPr>
  </w:style>
  <w:style w:customStyle="1" w:styleId="TitleChar" w:type="character">
    <w:name w:val="Title Char"/>
    <w:basedOn w:val="DefaultParagraphFont"/>
    <w:link w:val="Title"/>
    <w:uiPriority w:val="10"/>
    <w:rsid w:val="00B31D39"/>
    <w:rPr>
      <w:rFonts w:asciiTheme="majorHAnsi" w:cstheme="majorBidi" w:eastAsiaTheme="majorEastAsia" w:hAnsiTheme="majorHAnsi"/>
      <w:spacing w:val="-10"/>
      <w:kern w:val="28"/>
      <w:sz w:val="56"/>
      <w:szCs w:val="56"/>
    </w:rPr>
  </w:style>
  <w:style w:styleId="Subtitle" w:type="paragraph">
    <w:name w:val="Subtitle"/>
    <w:basedOn w:val="Normal"/>
    <w:next w:val="Normal"/>
    <w:link w:val="SubtitleChar"/>
    <w:uiPriority w:val="11"/>
    <w:qFormat/>
    <w:rsid w:val="00B31D39"/>
    <w:pPr>
      <w:numPr>
        <w:ilvl w:val="1"/>
      </w:numPr>
    </w:pPr>
    <w:rPr>
      <w:rFonts w:cstheme="majorBidi" w:eastAsiaTheme="majorEastAsia"/>
      <w:color w:themeColor="text1" w:themeTint="A6" w:val="595959"/>
      <w:spacing w:val="15"/>
      <w:sz w:val="28"/>
      <w:szCs w:val="28"/>
    </w:rPr>
  </w:style>
  <w:style w:customStyle="1" w:styleId="SubtitleChar" w:type="character">
    <w:name w:val="Subtitle Char"/>
    <w:basedOn w:val="DefaultParagraphFont"/>
    <w:link w:val="Subtitle"/>
    <w:uiPriority w:val="11"/>
    <w:rsid w:val="00B31D39"/>
    <w:rPr>
      <w:rFonts w:cstheme="majorBidi" w:eastAsiaTheme="majorEastAsia"/>
      <w:color w:themeColor="text1" w:themeTint="A6" w:val="595959"/>
      <w:spacing w:val="15"/>
      <w:sz w:val="28"/>
      <w:szCs w:val="28"/>
    </w:rPr>
  </w:style>
  <w:style w:styleId="Quote" w:type="paragraph">
    <w:name w:val="Quote"/>
    <w:basedOn w:val="Normal"/>
    <w:next w:val="Normal"/>
    <w:link w:val="QuoteChar"/>
    <w:uiPriority w:val="29"/>
    <w:qFormat/>
    <w:rsid w:val="00B31D39"/>
    <w:pPr>
      <w:spacing w:before="160"/>
      <w:jc w:val="center"/>
    </w:pPr>
    <w:rPr>
      <w:i/>
      <w:iCs/>
      <w:color w:themeColor="text1" w:themeTint="BF" w:val="404040"/>
    </w:rPr>
  </w:style>
  <w:style w:customStyle="1" w:styleId="QuoteChar" w:type="character">
    <w:name w:val="Quote Char"/>
    <w:basedOn w:val="DefaultParagraphFont"/>
    <w:link w:val="Quote"/>
    <w:uiPriority w:val="29"/>
    <w:rsid w:val="00B31D39"/>
    <w:rPr>
      <w:i/>
      <w:iCs/>
      <w:color w:themeColor="text1" w:themeTint="BF" w:val="404040"/>
    </w:rPr>
  </w:style>
  <w:style w:styleId="ListParagraph" w:type="paragraph">
    <w:name w:val="List Paragraph"/>
    <w:basedOn w:val="Normal"/>
    <w:uiPriority w:val="34"/>
    <w:qFormat/>
    <w:rsid w:val="00B31D39"/>
    <w:pPr>
      <w:ind w:left="720"/>
      <w:contextualSpacing/>
    </w:pPr>
  </w:style>
  <w:style w:styleId="IntenseEmphasis" w:type="character">
    <w:name w:val="Intense Emphasis"/>
    <w:basedOn w:val="DefaultParagraphFont"/>
    <w:uiPriority w:val="21"/>
    <w:qFormat/>
    <w:rsid w:val="00B31D39"/>
    <w:rPr>
      <w:i/>
      <w:iCs/>
      <w:color w:themeColor="accent1" w:themeShade="BF" w:val="0F4761"/>
    </w:rPr>
  </w:style>
  <w:style w:styleId="IntenseQuote" w:type="paragraph">
    <w:name w:val="Intense Quote"/>
    <w:basedOn w:val="Normal"/>
    <w:next w:val="Normal"/>
    <w:link w:val="IntenseQuoteChar"/>
    <w:uiPriority w:val="30"/>
    <w:qFormat/>
    <w:rsid w:val="00B31D39"/>
    <w:pPr>
      <w:pBdr>
        <w:top w:color="0F4761" w:space="10" w:sz="4" w:themeColor="accent1" w:themeShade="BF" w:val="single"/>
        <w:bottom w:color="0F4761" w:space="10" w:sz="4" w:themeColor="accent1" w:themeShade="BF" w:val="single"/>
      </w:pBdr>
      <w:spacing w:after="360" w:before="360"/>
      <w:ind w:left="864" w:right="864"/>
      <w:jc w:val="center"/>
    </w:pPr>
    <w:rPr>
      <w:i/>
      <w:iCs/>
      <w:color w:themeColor="accent1" w:themeShade="BF" w:val="0F4761"/>
    </w:rPr>
  </w:style>
  <w:style w:customStyle="1" w:styleId="IntenseQuoteChar" w:type="character">
    <w:name w:val="Intense Quote Char"/>
    <w:basedOn w:val="DefaultParagraphFont"/>
    <w:link w:val="IntenseQuote"/>
    <w:uiPriority w:val="30"/>
    <w:rsid w:val="00B31D39"/>
    <w:rPr>
      <w:i/>
      <w:iCs/>
      <w:color w:themeColor="accent1" w:themeShade="BF" w:val="0F4761"/>
    </w:rPr>
  </w:style>
  <w:style w:styleId="IntenseReference" w:type="character">
    <w:name w:val="Intense Reference"/>
    <w:basedOn w:val="DefaultParagraphFont"/>
    <w:uiPriority w:val="32"/>
    <w:qFormat/>
    <w:rsid w:val="00B31D39"/>
    <w:rPr>
      <w:b/>
      <w:bCs/>
      <w:smallCaps/>
      <w:color w:themeColor="accent1" w:themeShade="BF" w:val="0F4761"/>
      <w:spacing w:val="5"/>
    </w:rPr>
  </w:style>
  <w:style w:customStyle="1" w:styleId="CurrentList1" w:type="numbering">
    <w:name w:val="Current List1"/>
    <w:uiPriority w:val="99"/>
    <w:rsid w:val="00B31D39"/>
    <w:pPr>
      <w:numPr>
        <w:numId w:val="2"/>
      </w:numPr>
    </w:pPr>
  </w:style>
  <w:style w:customStyle="1" w:styleId="CurrentList2" w:type="numbering">
    <w:name w:val="Current List2"/>
    <w:uiPriority w:val="99"/>
    <w:rsid w:val="00B31D39"/>
    <w:pPr>
      <w:numPr>
        <w:numId w:val="4"/>
      </w:numPr>
    </w:pPr>
  </w:style>
  <w:style w:styleId="TableGrid" w:type="table">
    <w:name w:val="Table Grid"/>
    <w:basedOn w:val="TableNormal"/>
    <w:uiPriority w:val="39"/>
    <w:rsid w:val="008852B8"/>
    <w:pPr>
      <w:spacing w:after="0" w:line="240" w:lineRule="auto"/>
    </w:pPr>
    <w:rPr>
      <w:rFonts w:ascii="Calibri" w:hAnsi="Calibri"/>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blStylePr w:type="firstRow">
      <w:rPr>
        <w:b/>
      </w:rPr>
      <w:tblPr/>
      <w:tcPr>
        <w:shd w:color="auto" w:fill="A5C9EB" w:themeFill="text2" w:themeFillTint="40" w:val="clear"/>
      </w:tcPr>
    </w:tblStylePr>
  </w:style>
  <w:style w:styleId="PlainTable1" w:type="table">
    <w:name w:val="Plain Table 1"/>
    <w:basedOn w:val="TableNormal"/>
    <w:uiPriority w:val="41"/>
    <w:rsid w:val="00E820F7"/>
    <w:pPr>
      <w:spacing w:after="0" w:line="240" w:lineRule="auto"/>
    </w:pPr>
    <w:tblPr>
      <w:tblStyleRowBandSize w:val="1"/>
      <w:tblStyleColBandSize w:val="1"/>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tblStylePr w:type="firstRow">
      <w:rPr>
        <w:b/>
        <w:bCs/>
      </w:rPr>
    </w:tblStylePr>
    <w:tblStylePr w:type="lastRow">
      <w:rPr>
        <w:b/>
        <w:bCs/>
      </w:rPr>
      <w:tblPr/>
      <w:tcPr>
        <w:tcBorders>
          <w:top w:color="BFBFBF" w:space="0" w:sz="4" w:themeColor="background1" w:themeShade="BF" w:val="double"/>
        </w:tcBorders>
      </w:tcPr>
    </w:tblStylePr>
    <w:tblStylePr w:type="firstCol">
      <w:rPr>
        <w:b/>
        <w:bCs/>
      </w:rPr>
    </w:tblStylePr>
    <w:tblStylePr w:type="lastCol">
      <w:rPr>
        <w:b/>
        <w:bCs/>
      </w:rPr>
    </w:tblStylePr>
    <w:tblStylePr w:type="band1Vert">
      <w:tblPr/>
      <w:tcPr>
        <w:shd w:color="auto" w:fill="F2F2F2" w:themeFill="background1" w:themeFillShade="F2" w:val="clear"/>
      </w:tcPr>
    </w:tblStylePr>
    <w:tblStylePr w:type="band1Horz">
      <w:tblPr/>
      <w:tcPr>
        <w:shd w:color="auto" w:fill="F2F2F2" w:themeFill="background1" w:themeFillShade="F2" w:val="clear"/>
      </w:tcPr>
    </w:tblStylePr>
  </w:style>
  <w:style w:customStyle="1" w:styleId="SourceCode" w:type="paragraph">
    <w:name w:val="Source Code"/>
    <w:basedOn w:val="Normal"/>
    <w:pPr>
      <w:wordWrap w:val="0"/>
    </w:p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Pr>
      <w:i/>
      <w:color w:val="60A0B0"/>
    </w:rPr>
  </w:style>
  <w:style w:customStyle="1" w:styleId="DocumentationTok" w:type="character">
    <w:name w:val="DocumentationTok"/>
    <w:rPr>
      <w:i/>
      <w:color w:val="BA2121"/>
    </w:rPr>
  </w:style>
  <w:style w:customStyle="1" w:styleId="AnnotationTok" w:type="character">
    <w:name w:val="AnnotationTok"/>
    <w:rPr>
      <w:b/>
      <w:i/>
      <w:color w:val="60A0B0"/>
    </w:rPr>
  </w:style>
  <w:style w:customStyle="1" w:styleId="CommentVarTok" w:type="character">
    <w:name w:val="CommentVarTok"/>
    <w:rPr>
      <w:b/>
      <w:i/>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Pr>
      <w:b/>
      <w:i/>
      <w:color w:val="60A0B0"/>
    </w:rPr>
  </w:style>
  <w:style w:customStyle="1" w:styleId="WarningTok" w:type="character">
    <w:name w:val="WarningTok"/>
    <w:rPr>
      <w:b/>
      <w:i/>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7" Type="http://schemas.openxmlformats.org/officeDocument/2006/relationships/footnotes" Target="footnotes.xml"/><Relationship Id="rId8" Type="http://schemas.openxmlformats.org/officeDocument/2006/relationships/comments" Target="comments.xml"/><Relationship Id="rId30" Type="http://schemas.openxmlformats.org/officeDocument/2006/relationships/image" Target="media/rId30.png"/><Relationship Id="rId33" Type="http://schemas.openxmlformats.org/officeDocument/2006/relationships/image" Target="media/rId33.png"/><Relationship Id="rId23" Type="http://schemas.openxmlformats.org/officeDocument/2006/relationships/image" Target="media/rId23.png"/><Relationship Id="rId20" Type="http://schemas.openxmlformats.org/officeDocument/2006/relationships/image" Target="media/rId20.png"/><Relationship Id="rId38" Type="http://schemas.openxmlformats.org/officeDocument/2006/relationships/hyperlink" Target="https://www.inrs.fr/publications/bdd/fichetox/fiche.html?refINRS=FICHETOX_276" TargetMode="External"/><Relationship Id="rId41" Type="http://schemas.openxmlformats.org/officeDocument/2006/relationships/hyperlink" Target="https://www.inrs.fr/publications/bdd/fichetox/fiche.html?refINRS=FICHETOX_276&amp;section=VLEPMesurage" TargetMode="External"/><Relationship Id="rId46" Type="http://schemas.openxmlformats.org/officeDocument/2006/relationships/hyperlink" Target="https://www.inrs.fr/publications/bdd/fichetox/fiche.html?refINRS=FICHETOX_276&amp;section=bibliographieAuteurs" TargetMode="External"/><Relationship Id="rId40" Type="http://schemas.openxmlformats.org/officeDocument/2006/relationships/hyperlink" Target="https://www.inrs.fr/publications/bdd/fichetox/fiche.html?refINRS=FICHETOX_276&amp;section=caracteristiques" TargetMode="External"/><Relationship Id="rId39" Type="http://schemas.openxmlformats.org/officeDocument/2006/relationships/hyperlink" Target="https://www.inrs.fr/publications/bdd/fichetox/fiche.html?refINRS=FICHETOX_276&amp;section=generalites" TargetMode="External"/><Relationship Id="rId42" Type="http://schemas.openxmlformats.org/officeDocument/2006/relationships/hyperlink" Target="https://www.inrs.fr/publications/bdd/fichetox/fiche.html?refINRS=FICHETOX_276&amp;section=incendieExplosion" TargetMode="External"/><Relationship Id="rId43" Type="http://schemas.openxmlformats.org/officeDocument/2006/relationships/hyperlink" Target="https://www.inrs.fr/publications/bdd/fichetox/fiche.html?refINRS=FICHETOX_276&amp;section=pathologieToxicologie" TargetMode="External"/><Relationship Id="rId45" Type="http://schemas.openxmlformats.org/officeDocument/2006/relationships/hyperlink" Target="https://www.inrs.fr/publications/bdd/fichetox/fiche.html?refINRS=FICHETOX_276&amp;section=recommandations" TargetMode="External"/><Relationship Id="rId44" Type="http://schemas.openxmlformats.org/officeDocument/2006/relationships/hyperlink" Target="https://www.inrs.fr/publications/bdd/fichetox/fiche.html?refINRS=FICHETOX_276&amp;section=reglementation" TargetMode="External"/></Relationships>
</file>

<file path=word/_rels/footnotes.xml.rels><?xml version='1.0' encoding='UTF-8' standalone='yes'?>
<Relationships xmlns="http://schemas.openxmlformats.org/package/2006/relationships"><Relationship Id="rId38" Type="http://schemas.openxmlformats.org/officeDocument/2006/relationships/hyperlink" Target="https://www.inrs.fr/publications/bdd/fichetox/fiche.html?refINRS=FICHETOX_276" TargetMode="External"/><Relationship Id="rId41" Type="http://schemas.openxmlformats.org/officeDocument/2006/relationships/hyperlink" Target="https://www.inrs.fr/publications/bdd/fichetox/fiche.html?refINRS=FICHETOX_276&amp;section=VLEPMesurage" TargetMode="External"/><Relationship Id="rId46" Type="http://schemas.openxmlformats.org/officeDocument/2006/relationships/hyperlink" Target="https://www.inrs.fr/publications/bdd/fichetox/fiche.html?refINRS=FICHETOX_276&amp;section=bibliographieAuteurs" TargetMode="External"/><Relationship Id="rId40" Type="http://schemas.openxmlformats.org/officeDocument/2006/relationships/hyperlink" Target="https://www.inrs.fr/publications/bdd/fichetox/fiche.html?refINRS=FICHETOX_276&amp;section=caracteristiques" TargetMode="External"/><Relationship Id="rId39" Type="http://schemas.openxmlformats.org/officeDocument/2006/relationships/hyperlink" Target="https://www.inrs.fr/publications/bdd/fichetox/fiche.html?refINRS=FICHETOX_276&amp;section=generalites" TargetMode="External"/><Relationship Id="rId42" Type="http://schemas.openxmlformats.org/officeDocument/2006/relationships/hyperlink" Target="https://www.inrs.fr/publications/bdd/fichetox/fiche.html?refINRS=FICHETOX_276&amp;section=incendieExplosion" TargetMode="External"/><Relationship Id="rId43" Type="http://schemas.openxmlformats.org/officeDocument/2006/relationships/hyperlink" Target="https://www.inrs.fr/publications/bdd/fichetox/fiche.html?refINRS=FICHETOX_276&amp;section=pathologieToxicologie" TargetMode="External"/><Relationship Id="rId45" Type="http://schemas.openxmlformats.org/officeDocument/2006/relationships/hyperlink" Target="https://www.inrs.fr/publications/bdd/fichetox/fiche.html?refINRS=FICHETOX_276&amp;section=recommandations" TargetMode="External"/><Relationship Id="rId44" Type="http://schemas.openxmlformats.org/officeDocument/2006/relationships/hyperlink" Target="https://www.inrs.fr/publications/bdd/fichetox/fiche.html?refINRS=FICHETOX_276&amp;section=reglement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28</Words>
  <Characters>129</Characters>
  <Application>Microsoft Office Word</Application>
  <DocSecurity>0</DocSecurity>
  <Lines>11</Lines>
  <Paragraphs>13</Paragraphs>
  <ScaleCrop>false</ScaleCrop>
  <Company/>
  <LinksUpToDate>false</LinksUpToDate>
  <CharactersWithSpaces>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2026-04-02T14:41:54Z</dcterms:created>
  <dcterms:modified xsi:type="dcterms:W3CDTF">2026-04-02T14:41:54Z</dcterms:modified>
</cp:coreProperties>
</file>

<file path=docProps/custom.xml><?xml version="1.0" encoding="utf-8"?>
<Properties xmlns="http://schemas.openxmlformats.org/officeDocument/2006/custom-properties" xmlns:vt="http://schemas.openxmlformats.org/officeDocument/2006/docPropsVTypes"/>
</file>