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brenntag-ms15650seldedeneigementrosieres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brenntag-ms15650seldedeneigementrosieres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33c4860a36c5bf25442d664019bd1d179dd063e"/>
    <w:p>
      <w:pPr>
        <w:pStyle w:val="Heading1"/>
      </w:pPr>
      <w:r>
        <w:t xml:space="preserve">Analyse des dangers : brenntag-ms15650seldedeneigementrosieres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brenntag-ms15650seldedeneigementrosieres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différentes applications techniques et industrielles.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2016-03-03.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contaminés.</w:t>
      </w:r>
      <w:r>
        <w:t xml:space="preserve"> </w:t>
      </w:r>
      <w:r>
        <w:t xml:space="preserve">• Rincer la peau immédiatement et abondamment à l’eau (éviter de se doucher).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eyes : • Rincer immédiatement, longuement et abondamment (au moins 15 min.) à l’eau.</w:t>
      </w:r>
      <w:r>
        <w:t xml:space="preserve"> </w:t>
      </w:r>
      <w:r>
        <w:t xml:space="preserve">• Enlever les verres de contact.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Rincer la bouche à l’eau.</w:t>
      </w:r>
      <w:r>
        <w:t xml:space="preserve"> </w:t>
      </w:r>
      <w:r>
        <w:t xml:space="preserve">• Faire boire de l’eau.</w:t>
      </w:r>
      <w:r>
        <w:t xml:space="preserve"> </w:t>
      </w:r>
      <w:r>
        <w:t xml:space="preserve">• Consulter un médecin en cas de malaise.</w:t>
      </w:r>
    </w:p>
    <w:p>
      <w:pPr>
        <w:pStyle w:val="BodyText"/>
      </w:pPr>
      <w:r>
        <w:t xml:space="preserve">inhalation : • Amener la victime à l’air frais.</w:t>
      </w:r>
      <w:r>
        <w:t xml:space="preserve"> </w:t>
      </w:r>
      <w:r>
        <w:t xml:space="preserve">• Tenir le patient au calme dans une position demi‑assise.</w:t>
      </w:r>
      <w:r>
        <w:t xml:space="preserve"> </w:t>
      </w:r>
      <w:r>
        <w:t xml:space="preserve">• Si nécessaire, appeler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hlorure-de-sodium"/>
    <w:p>
      <w:pPr>
        <w:pStyle w:val="Heading3"/>
      </w:pPr>
      <w:r>
        <w:t xml:space="preserve">Chlorure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7647-14-5</w:t>
      </w:r>
    </w:p>
    <w:p>
      <w:pPr>
        <w:pStyle w:val="Compact"/>
        <w:numPr>
          <w:ilvl w:val="0"/>
          <w:numId w:val="1004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98.0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(durée de service) : &gt; 480 min (8 h).</w:t>
            </w:r>
            <w:r>
              <w:rPr>
                <w:sz w:val="20"/>
                <w:szCs w:val="20"/>
              </w:rPr>
              <w:t xml:space="preserve">• Conformité : EN 374 (norme européenne pour les gants de protection).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anti-éclaboussures (goggles).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(durée de service) : &gt; 480 min (8 h).</w:t>
            </w:r>
            <w:r>
              <w:rPr>
                <w:sz w:val="20"/>
                <w:szCs w:val="20"/>
              </w:rPr>
              <w:t xml:space="preserve">• Conformité : EN 374 (norme européenne pour les gants de protection).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Pas obligatoire en général.</w:t>
            </w:r>
            <w:r>
              <w:rPr>
                <w:sz w:val="20"/>
                <w:szCs w:val="20"/>
              </w:rPr>
              <w:t xml:space="preserve">• En cas de formation de poussière : respirateur anti-poussières CE-agréé, type de filtre 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• Un vêtement de protection approprié (type non précisé, mais doit être adapté à la manipulation de produits chimiques).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la formation de poussière. - Éviter le contact avec les yeux et le contact prolongé avec la peau. - Porter l’équipement individuel de protection recommandé (voir section 8). - Ne pas manger, ne pas boire et ne pas fumer pendant l’utilisation. - Se laver les mains avant et après avoir travaillé avec le produit. - Des rince‑œil et des douches de sécurité doivent être installés à proximité de toute source possible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 bien fermé, dans un endroit bien ventilé et sec. - Tous les produits dangereux devraient être placés sur un bac récepteur ou être entonnés. - Conserver à l’écart des : - Produits très acides - Agents oxydants. Matériaux d’emballage recommandés : Matières synthétiques, acier inoxydable. Matériaux d’emballage déconseillés : Acier, métaux légers.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différentes applications techniques et industrielles.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2026-04-07T07:48:02Z</dcterms:created>
  <dcterms:modified xsi:type="dcterms:W3CDTF">2026-04-07T07:48:02Z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