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candicar-nettoieinsectes-e151ros-nivelles-llnok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Candicar Europe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candicar-nettoieinsectes-e151ros-nivelles-llnok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71" w:name="X57964fd331df9fb75b5025cd6c2d0049ebc744a"/>
    <w:p>
      <w:pPr>
        <w:pStyle w:val="Heading1"/>
      </w:pPr>
      <w:r>
        <w:t xml:space="preserve">Analyse des dangers : candicar-nettoieinsectes-e151ros-nivelles-llnok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candicar-nettoieinsectes-e151ros-nivelles-llnok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Candicar Europe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13.00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pour l’automobile.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2015-06-25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2015-06-25.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Hydroxyde de sodium devrait être classée H319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2-(2-BUTOXY ETHOXY) ETHANOL devrait être classée H412 selon les dernières classifications harmonisées publiées par l’ECHA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5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5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5"/>
        </w:numPr>
      </w:pPr>
      <w:r>
        <w:t xml:space="preserve">P301+P330+P331</w:t>
      </w:r>
      <w:r>
        <w:t xml:space="preserve"> </w:t>
      </w:r>
      <w:r>
        <w:t xml:space="preserve">EN CAS D’INGESTION: rincer la bouche. NE PAS faire vomir.</w:t>
      </w:r>
    </w:p>
    <w:p>
      <w:pPr>
        <w:numPr>
          <w:ilvl w:val="0"/>
          <w:numId w:val="1005"/>
        </w:numPr>
      </w:pPr>
      <w:r>
        <w:t xml:space="preserve">P303+P361+P353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5"/>
        </w:numPr>
      </w:pPr>
      <w:r>
        <w:t xml:space="preserve">P304+P340</w:t>
      </w:r>
      <w:r>
        <w:t xml:space="preserve"> </w:t>
      </w:r>
      <w:r>
        <w:t xml:space="preserve">EN CAS D’INHALATION:</w:t>
      </w:r>
    </w:p>
    <w:p>
      <w:pPr>
        <w:numPr>
          <w:ilvl w:val="0"/>
          <w:numId w:val="1005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5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numPr>
          <w:ilvl w:val="0"/>
          <w:numId w:val="1005"/>
        </w:numPr>
      </w:pPr>
      <w:r>
        <w:t xml:space="preserve">P363</w:t>
      </w:r>
      <w:r>
        <w:t xml:space="preserve"> </w:t>
      </w:r>
      <w:r>
        <w:t xml:space="preserve">Laver les vêtements contaminés avant réutilisation.</w:t>
      </w:r>
    </w:p>
    <w:p>
      <w:pPr>
        <w:numPr>
          <w:ilvl w:val="0"/>
          <w:numId w:val="1005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Classe 8</w:t>
      </w:r>
    </w:p>
    <w:p>
      <w:pPr>
        <w:pStyle w:val="Compact"/>
        <w:numPr>
          <w:ilvl w:val="0"/>
          <w:numId w:val="1006"/>
        </w:numPr>
      </w:pPr>
      <w:r>
        <w:t xml:space="preserve">RID : Classe 8</w:t>
      </w:r>
    </w:p>
    <w:p>
      <w:pPr>
        <w:pStyle w:val="Compact"/>
        <w:numPr>
          <w:ilvl w:val="0"/>
          <w:numId w:val="1006"/>
        </w:numPr>
      </w:pPr>
      <w:r>
        <w:t xml:space="preserve">ADN : -</w:t>
      </w:r>
    </w:p>
    <w:p>
      <w:pPr>
        <w:pStyle w:val="Compact"/>
        <w:numPr>
          <w:ilvl w:val="0"/>
          <w:numId w:val="1006"/>
        </w:numPr>
      </w:pPr>
      <w:r>
        <w:t xml:space="preserve">IMDG : Classe 8</w:t>
      </w:r>
    </w:p>
    <w:p>
      <w:pPr>
        <w:pStyle w:val="Compact"/>
        <w:numPr>
          <w:ilvl w:val="0"/>
          <w:numId w:val="1006"/>
        </w:numPr>
      </w:pPr>
      <w:r>
        <w:t xml:space="preserve">IATA : Classe 8</w:t>
      </w:r>
    </w:p>
    <w:p>
      <w:pPr>
        <w:pStyle w:val="Compact"/>
        <w:numPr>
          <w:ilvl w:val="0"/>
          <w:numId w:val="1006"/>
        </w:numPr>
      </w:pPr>
      <w:r>
        <w:t xml:space="preserve">UN : 3266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1. Enlever immédiatement tout vêtement contaminé.</w:t>
      </w:r>
      <w:r>
        <w:t xml:space="preserve">2. Rincer abondamment la zone touchée à l’eau claire et propre.</w:t>
      </w:r>
      <w:r>
        <w:t xml:space="preserve">3. Si la zone contaminée est étendue ou si des lésions cutanées apparaissent, consulter un médecin ou transférer en milieu hospitalier.</w:t>
      </w:r>
    </w:p>
    <w:p>
      <w:pPr>
        <w:pStyle w:val="BodyText"/>
      </w:pPr>
      <w:r>
        <w:t xml:space="preserve">eyes : 1. Rincer les yeux avec précaution à l’eau pendant plusieurs minutes (au moins 15 min).</w:t>
      </w:r>
      <w:r>
        <w:t xml:space="preserve">2. Maintenir les paupières écartées pendant le rinçage.</w:t>
      </w:r>
      <w:r>
        <w:t xml:space="preserve">3. Enlever les lentilles de contact si elles peuvent l’être facilement.</w:t>
      </w:r>
      <w:r>
        <w:t xml:space="preserve">4. Continuer le rinçage jusqu’à ce que l’eau soit claire.</w:t>
      </w:r>
      <w:r>
        <w:t xml:space="preserve">5. Adresser systématiquement le sujet chez un ophtalmologiste, en lui montrant l’étiquette.</w:t>
      </w:r>
    </w:p>
    <w:p>
      <w:pPr>
        <w:pStyle w:val="BodyText"/>
      </w:pPr>
      <w:r>
        <w:t xml:space="preserve">ingestion : 1. Ne rien faire absorber par la bouche.</w:t>
      </w:r>
      <w:r>
        <w:t xml:space="preserve">2. Appeler immédiatement un centre antipoison ou un médecin.</w:t>
      </w:r>
      <w:r>
        <w:t xml:space="preserve">3. Montrer l’étiquette au professionnel de santé.</w:t>
      </w:r>
    </w:p>
    <w:p>
      <w:pPr>
        <w:pStyle w:val="BodyText"/>
      </w:pPr>
      <w:r>
        <w:t xml:space="preserve">inhalation : 1. Transporter la personne à l’extérieur.</w:t>
      </w:r>
      <w:r>
        <w:t xml:space="preserve">2. La maintenir dans une position où elle peut respirer confortablement.</w:t>
      </w:r>
    </w:p>
    <w:p>
      <w:r>
        <w:br w:type="page"/>
      </w:r>
    </w:p>
    <w:bookmarkEnd w:id="34"/>
    <w:bookmarkStart w:id="68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5" w:name="not-found"/>
    <w:p>
      <w:pPr>
        <w:pStyle w:val="Heading3"/>
      </w:pPr>
      <w:r>
        <w:t xml:space="preserve">Not Found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1310-73-2</w:t>
      </w:r>
    </w:p>
    <w:p>
      <w:pPr>
        <w:pStyle w:val="Compact"/>
        <w:numPr>
          <w:ilvl w:val="0"/>
          <w:numId w:val="1007"/>
        </w:numPr>
      </w:pPr>
      <w:r>
        <w:t xml:space="preserve">N° EINECS : 215-185-5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8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2.0</w:t>
            </w:r>
          </w:p>
        </w:tc>
      </w:tr>
    </w:tbl>
    <w:bookmarkStart w:id="44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5">
        <w:r>
          <w:rPr>
            <w:rStyle w:val="Hyperlink"/>
            <w:color w:val="0856A0"/>
            <w:u w:val="single"/>
          </w:rPr>
          <w:t xml:space="preserve">Fiche n°20 - Hydroxyde de sodium et solutions aqueuses</w:t>
        </w:r>
      </w:hyperlink>
    </w:p>
    <w:p>
      <w:pPr>
        <w:numPr>
          <w:ilvl w:val="0"/>
          <w:numId w:val="1009"/>
        </w:numPr>
      </w:pPr>
      <w:hyperlink r:id="rId3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9"/>
        </w:numPr>
      </w:pPr>
      <w:hyperlink r:id="rId3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9"/>
        </w:numPr>
      </w:pPr>
      <w:hyperlink r:id="rId3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9"/>
        </w:numPr>
      </w:pPr>
      <w:hyperlink r:id="rId39">
        <w:r>
          <w:rPr>
            <w:rStyle w:val="Hyperlink"/>
            <w:color w:val="0856A0"/>
            <w:u w:val="single"/>
          </w:rPr>
          <w:t xml:space="preserve">Incendie - Explosion[7, 8]</w:t>
        </w:r>
      </w:hyperlink>
    </w:p>
    <w:p>
      <w:pPr>
        <w:numPr>
          <w:ilvl w:val="0"/>
          <w:numId w:val="1009"/>
        </w:numPr>
      </w:pPr>
      <w:hyperlink r:id="rId4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9"/>
        </w:numPr>
      </w:pPr>
      <w:hyperlink r:id="rId4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9"/>
        </w:numPr>
      </w:pPr>
      <w:hyperlink r:id="rId4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9"/>
        </w:numPr>
      </w:pPr>
      <w:hyperlink r:id="rId4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4"/>
    <w:bookmarkEnd w:id="45"/>
    <w:bookmarkStart w:id="56" w:name="hydroxyde-de-sodium"/>
    <w:p>
      <w:pPr>
        <w:pStyle w:val="Heading3"/>
      </w:pPr>
      <w:r>
        <w:t xml:space="preserve">Hydroxyde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112-34-5</w:t>
      </w:r>
    </w:p>
    <w:p>
      <w:pPr>
        <w:pStyle w:val="Compact"/>
        <w:numPr>
          <w:ilvl w:val="0"/>
          <w:numId w:val="1010"/>
        </w:numPr>
      </w:pPr>
      <w:r>
        <w:t xml:space="preserve">N° EINECS : 203-961-6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1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10.0 - VLE-8h (mg/m³) : 67.5 - VLE-15min (ppm) : 15.0 - VLE-15min (mg/m³) : 101.2</w:t>
            </w:r>
          </w:p>
        </w:tc>
      </w:tr>
    </w:tbl>
    <w:bookmarkStart w:id="55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6">
        <w:r>
          <w:rPr>
            <w:rStyle w:val="Hyperlink"/>
            <w:color w:val="0856A0"/>
            <w:u w:val="single"/>
          </w:rPr>
          <w:t xml:space="preserve">Fiche n°254 - 2-(2-Butoxyéthoxy)éthanol et son acétate</w:t>
        </w:r>
      </w:hyperlink>
    </w:p>
    <w:p>
      <w:pPr>
        <w:numPr>
          <w:ilvl w:val="0"/>
          <w:numId w:val="1012"/>
        </w:numPr>
      </w:pPr>
      <w:hyperlink r:id="rId47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2"/>
        </w:numPr>
      </w:pPr>
      <w:hyperlink r:id="rId48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2"/>
        </w:numPr>
      </w:pPr>
      <w:hyperlink r:id="rId49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2"/>
        </w:numPr>
      </w:pPr>
      <w:hyperlink r:id="rId50">
        <w:r>
          <w:rPr>
            <w:rStyle w:val="Hyperlink"/>
            <w:color w:val="0856A0"/>
            <w:u w:val="single"/>
          </w:rPr>
          <w:t xml:space="preserve">Incendie - Explosion[3, 5-7, 14-16]</w:t>
        </w:r>
      </w:hyperlink>
    </w:p>
    <w:p>
      <w:pPr>
        <w:numPr>
          <w:ilvl w:val="0"/>
          <w:numId w:val="1012"/>
        </w:numPr>
      </w:pPr>
      <w:hyperlink r:id="rId51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2"/>
        </w:numPr>
      </w:pPr>
      <w:hyperlink r:id="rId52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2"/>
        </w:numPr>
      </w:pPr>
      <w:hyperlink r:id="rId53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2"/>
        </w:numPr>
      </w:pPr>
      <w:hyperlink r:id="rId54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5"/>
    <w:bookmarkEnd w:id="56"/>
    <w:bookmarkStart w:id="67" w:name="butoxy-ethoxy-ethanol"/>
    <w:p>
      <w:pPr>
        <w:pStyle w:val="Heading3"/>
      </w:pPr>
      <w:r>
        <w:t xml:space="preserve">2-(2-BUTOXY ETHOXY) ETHANOL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3"/>
        </w:numPr>
      </w:pPr>
      <w:r>
        <w:t xml:space="preserve">N° CAS : 5989-27-5</w:t>
      </w:r>
    </w:p>
    <w:p>
      <w:pPr>
        <w:pStyle w:val="Compact"/>
        <w:numPr>
          <w:ilvl w:val="0"/>
          <w:numId w:val="1013"/>
        </w:numPr>
      </w:pPr>
      <w:r>
        <w:t xml:space="preserve">N° EINECS : 227-813-5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14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4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4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14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4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numPr>
          <w:ilvl w:val="0"/>
          <w:numId w:val="1014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66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7">
        <w:r>
          <w:rPr>
            <w:rStyle w:val="Hyperlink"/>
            <w:color w:val="0856A0"/>
            <w:u w:val="single"/>
          </w:rPr>
          <w:t xml:space="preserve">Fiche n°227 - Dipentène</w:t>
        </w:r>
      </w:hyperlink>
    </w:p>
    <w:p>
      <w:pPr>
        <w:numPr>
          <w:ilvl w:val="0"/>
          <w:numId w:val="1015"/>
        </w:numPr>
      </w:pPr>
      <w:hyperlink r:id="rId58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5"/>
        </w:numPr>
      </w:pPr>
      <w:hyperlink r:id="rId59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5"/>
        </w:numPr>
      </w:pPr>
      <w:hyperlink r:id="rId60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5"/>
        </w:numPr>
      </w:pPr>
      <w:hyperlink r:id="rId61">
        <w:r>
          <w:rPr>
            <w:rStyle w:val="Hyperlink"/>
            <w:color w:val="0856A0"/>
            <w:u w:val="single"/>
          </w:rPr>
          <w:t xml:space="preserve">Incendie - Explosion[10-12]</w:t>
        </w:r>
      </w:hyperlink>
    </w:p>
    <w:p>
      <w:pPr>
        <w:numPr>
          <w:ilvl w:val="0"/>
          <w:numId w:val="1015"/>
        </w:numPr>
      </w:pPr>
      <w:hyperlink r:id="rId62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5"/>
        </w:numPr>
      </w:pPr>
      <w:hyperlink r:id="rId63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5"/>
        </w:numPr>
      </w:pPr>
      <w:hyperlink r:id="rId64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5"/>
        </w:numPr>
      </w:pPr>
      <w:hyperlink r:id="rId65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6"/>
    <w:bookmarkEnd w:id="67"/>
    <w:bookmarkEnd w:id="68"/>
    <w:bookmarkStart w:id="69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Matériaux conseillés:  – Latex naturel  – PVC (Polychlorure de vinyle) • Caractéristiques recommandées:  – Gants imperméables  – Conformes à la norme NF EN 374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/ du visage • Utiliser des lunettes de protection conçues contre les projections de liquide. • Avant toute manipulation, porter des lunettes à protection latérale conformes à la norme NF EN 166. • En cas de danger accru, utiliser un écran facial pour la protection du visage.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Matériaux conseillés:  – Latex naturel  – PVC (Polychlorure de vinyle) • Caractéristiques recommandées:  – Gants imperméables  – Conformes à la norme NF EN 374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• En cas de fortes projections: porter des vêtements de protection chimique étanches aux liquides (type 3) conformes à la norme NF EN 14605. • En cas de risque d’éclaboussures: porter des vêtements de protection chimique (type 6) conformes à la norme NF EN 13034. • Porter un tablier et des bottes: ces éléments doivent être maintenus en bon état et nettoyés après usage.</w:t>
            </w:r>
          </w:p>
        </w:tc>
      </w:tr>
    </w:tbl>
    <w:bookmarkEnd w:id="69"/>
    <w:bookmarkStart w:id="70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laver les mains après chaque utilisation. - Enlever et laver les vêtements contaminés avant réutilisation. - Prévoir des douches de sécurité et des fontaines oculaires dans les ateliers où le mélange est manipulé de façon constante. - Interdire l’accès aux personnes non autorisées (prévention des incendies). - Observer les précautions indiquées sur l’étiquette ainsi que les réglementations de la protection du travail. - Il est interdit de fumer, manger et boire dans les locaux où le mélange est utilisé.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Aucune donnée n’est disponible.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pour l’automobile.</w:t>
            </w:r>
          </w:p>
        </w:tc>
      </w:tr>
    </w:tbl>
    <w:bookmarkEnd w:id="70"/>
    <w:bookmarkEnd w:id="71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5" Type="http://schemas.openxmlformats.org/officeDocument/2006/relationships/hyperlink" Target="https://www.inrs.fr/publications/bdd/fichetox/fiche.html?refINRS=FICHETOX_20" TargetMode="External"/><Relationship Id="rId38" Type="http://schemas.openxmlformats.org/officeDocument/2006/relationships/hyperlink" Target="https://www.inrs.fr/publications/bdd/fichetox/fiche.html?refINRS=FICHETOX_20&amp;section=VLEPMesurage" TargetMode="External"/><Relationship Id="rId43" Type="http://schemas.openxmlformats.org/officeDocument/2006/relationships/hyperlink" Target="https://www.inrs.fr/publications/bdd/fichetox/fiche.html?refINRS=FICHETOX_20&amp;section=bibliographieAuteurs" TargetMode="External"/><Relationship Id="rId37" Type="http://schemas.openxmlformats.org/officeDocument/2006/relationships/hyperlink" Target="https://www.inrs.fr/publications/bdd/fichetox/fiche.html?refINRS=FICHETOX_20&amp;section=caracteristiques" TargetMode="External"/><Relationship Id="rId36" Type="http://schemas.openxmlformats.org/officeDocument/2006/relationships/hyperlink" Target="https://www.inrs.fr/publications/bdd/fichetox/fiche.html?refINRS=FICHETOX_20&amp;section=generalites" TargetMode="External"/><Relationship Id="rId39" Type="http://schemas.openxmlformats.org/officeDocument/2006/relationships/hyperlink" Target="https://www.inrs.fr/publications/bdd/fichetox/fiche.html?refINRS=FICHETOX_20&amp;section=incendieExplosion" TargetMode="External"/><Relationship Id="rId40" Type="http://schemas.openxmlformats.org/officeDocument/2006/relationships/hyperlink" Target="https://www.inrs.fr/publications/bdd/fichetox/fiche.html?refINRS=FICHETOX_20&amp;section=pathologieToxicologie" TargetMode="External"/><Relationship Id="rId42" Type="http://schemas.openxmlformats.org/officeDocument/2006/relationships/hyperlink" Target="https://www.inrs.fr/publications/bdd/fichetox/fiche.html?refINRS=FICHETOX_20&amp;section=recommandations" TargetMode="External"/><Relationship Id="rId41" Type="http://schemas.openxmlformats.org/officeDocument/2006/relationships/hyperlink" Target="https://www.inrs.fr/publications/bdd/fichetox/fiche.html?refINRS=FICHETOX_20&amp;section=reglementation" TargetMode="External"/><Relationship Id="rId57" Type="http://schemas.openxmlformats.org/officeDocument/2006/relationships/hyperlink" Target="https://www.inrs.fr/publications/bdd/fichetox/fiche.html?refINRS=FICHETOX_227" TargetMode="External"/><Relationship Id="rId60" Type="http://schemas.openxmlformats.org/officeDocument/2006/relationships/hyperlink" Target="https://www.inrs.fr/publications/bdd/fichetox/fiche.html?refINRS=FICHETOX_227&amp;section=VLEPMesurage" TargetMode="External"/><Relationship Id="rId65" Type="http://schemas.openxmlformats.org/officeDocument/2006/relationships/hyperlink" Target="https://www.inrs.fr/publications/bdd/fichetox/fiche.html?refINRS=FICHETOX_227&amp;section=bibliographieAuteurs" TargetMode="External"/><Relationship Id="rId59" Type="http://schemas.openxmlformats.org/officeDocument/2006/relationships/hyperlink" Target="https://www.inrs.fr/publications/bdd/fichetox/fiche.html?refINRS=FICHETOX_227&amp;section=caracteristiques" TargetMode="External"/><Relationship Id="rId58" Type="http://schemas.openxmlformats.org/officeDocument/2006/relationships/hyperlink" Target="https://www.inrs.fr/publications/bdd/fichetox/fiche.html?refINRS=FICHETOX_227&amp;section=generalites" TargetMode="External"/><Relationship Id="rId61" Type="http://schemas.openxmlformats.org/officeDocument/2006/relationships/hyperlink" Target="https://www.inrs.fr/publications/bdd/fichetox/fiche.html?refINRS=FICHETOX_227&amp;section=incendieExplosion" TargetMode="External"/><Relationship Id="rId62" Type="http://schemas.openxmlformats.org/officeDocument/2006/relationships/hyperlink" Target="https://www.inrs.fr/publications/bdd/fichetox/fiche.html?refINRS=FICHETOX_227&amp;section=pathologieToxicologie" TargetMode="External"/><Relationship Id="rId64" Type="http://schemas.openxmlformats.org/officeDocument/2006/relationships/hyperlink" Target="https://www.inrs.fr/publications/bdd/fichetox/fiche.html?refINRS=FICHETOX_227&amp;section=recommandations" TargetMode="External"/><Relationship Id="rId63" Type="http://schemas.openxmlformats.org/officeDocument/2006/relationships/hyperlink" Target="https://www.inrs.fr/publications/bdd/fichetox/fiche.html?refINRS=FICHETOX_227&amp;section=reglementation" TargetMode="External"/><Relationship Id="rId46" Type="http://schemas.openxmlformats.org/officeDocument/2006/relationships/hyperlink" Target="https://www.inrs.fr/publications/bdd/fichetox/fiche.html?refINRS=FICHETOX_254" TargetMode="External"/><Relationship Id="rId49" Type="http://schemas.openxmlformats.org/officeDocument/2006/relationships/hyperlink" Target="https://www.inrs.fr/publications/bdd/fichetox/fiche.html?refINRS=FICHETOX_254&amp;section=VLEPMesurage" TargetMode="External"/><Relationship Id="rId54" Type="http://schemas.openxmlformats.org/officeDocument/2006/relationships/hyperlink" Target="https://www.inrs.fr/publications/bdd/fichetox/fiche.html?refINRS=FICHETOX_254&amp;section=bibliographieAuteurs" TargetMode="External"/><Relationship Id="rId48" Type="http://schemas.openxmlformats.org/officeDocument/2006/relationships/hyperlink" Target="https://www.inrs.fr/publications/bdd/fichetox/fiche.html?refINRS=FICHETOX_254&amp;section=caracteristiques" TargetMode="External"/><Relationship Id="rId47" Type="http://schemas.openxmlformats.org/officeDocument/2006/relationships/hyperlink" Target="https://www.inrs.fr/publications/bdd/fichetox/fiche.html?refINRS=FICHETOX_254&amp;section=generalites" TargetMode="External"/><Relationship Id="rId50" Type="http://schemas.openxmlformats.org/officeDocument/2006/relationships/hyperlink" Target="https://www.inrs.fr/publications/bdd/fichetox/fiche.html?refINRS=FICHETOX_254&amp;section=incendieExplosion" TargetMode="External"/><Relationship Id="rId51" Type="http://schemas.openxmlformats.org/officeDocument/2006/relationships/hyperlink" Target="https://www.inrs.fr/publications/bdd/fichetox/fiche.html?refINRS=FICHETOX_254&amp;section=pathologieToxicologie" TargetMode="External"/><Relationship Id="rId53" Type="http://schemas.openxmlformats.org/officeDocument/2006/relationships/hyperlink" Target="https://www.inrs.fr/publications/bdd/fichetox/fiche.html?refINRS=FICHETOX_254&amp;section=recommandations" TargetMode="External"/><Relationship Id="rId52" Type="http://schemas.openxmlformats.org/officeDocument/2006/relationships/hyperlink" Target="https://www.inrs.fr/publications/bdd/fichetox/fiche.html?refINRS=FICHETOX_254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5" Type="http://schemas.openxmlformats.org/officeDocument/2006/relationships/hyperlink" Target="https://www.inrs.fr/publications/bdd/fichetox/fiche.html?refINRS=FICHETOX_20" TargetMode="External"/><Relationship Id="rId38" Type="http://schemas.openxmlformats.org/officeDocument/2006/relationships/hyperlink" Target="https://www.inrs.fr/publications/bdd/fichetox/fiche.html?refINRS=FICHETOX_20&amp;section=VLEPMesurage" TargetMode="External"/><Relationship Id="rId43" Type="http://schemas.openxmlformats.org/officeDocument/2006/relationships/hyperlink" Target="https://www.inrs.fr/publications/bdd/fichetox/fiche.html?refINRS=FICHETOX_20&amp;section=bibliographieAuteurs" TargetMode="External"/><Relationship Id="rId37" Type="http://schemas.openxmlformats.org/officeDocument/2006/relationships/hyperlink" Target="https://www.inrs.fr/publications/bdd/fichetox/fiche.html?refINRS=FICHETOX_20&amp;section=caracteristiques" TargetMode="External"/><Relationship Id="rId36" Type="http://schemas.openxmlformats.org/officeDocument/2006/relationships/hyperlink" Target="https://www.inrs.fr/publications/bdd/fichetox/fiche.html?refINRS=FICHETOX_20&amp;section=generalites" TargetMode="External"/><Relationship Id="rId39" Type="http://schemas.openxmlformats.org/officeDocument/2006/relationships/hyperlink" Target="https://www.inrs.fr/publications/bdd/fichetox/fiche.html?refINRS=FICHETOX_20&amp;section=incendieExplosion" TargetMode="External"/><Relationship Id="rId40" Type="http://schemas.openxmlformats.org/officeDocument/2006/relationships/hyperlink" Target="https://www.inrs.fr/publications/bdd/fichetox/fiche.html?refINRS=FICHETOX_20&amp;section=pathologieToxicologie" TargetMode="External"/><Relationship Id="rId42" Type="http://schemas.openxmlformats.org/officeDocument/2006/relationships/hyperlink" Target="https://www.inrs.fr/publications/bdd/fichetox/fiche.html?refINRS=FICHETOX_20&amp;section=recommandations" TargetMode="External"/><Relationship Id="rId41" Type="http://schemas.openxmlformats.org/officeDocument/2006/relationships/hyperlink" Target="https://www.inrs.fr/publications/bdd/fichetox/fiche.html?refINRS=FICHETOX_20&amp;section=reglementation" TargetMode="External"/><Relationship Id="rId57" Type="http://schemas.openxmlformats.org/officeDocument/2006/relationships/hyperlink" Target="https://www.inrs.fr/publications/bdd/fichetox/fiche.html?refINRS=FICHETOX_227" TargetMode="External"/><Relationship Id="rId60" Type="http://schemas.openxmlformats.org/officeDocument/2006/relationships/hyperlink" Target="https://www.inrs.fr/publications/bdd/fichetox/fiche.html?refINRS=FICHETOX_227&amp;section=VLEPMesurage" TargetMode="External"/><Relationship Id="rId65" Type="http://schemas.openxmlformats.org/officeDocument/2006/relationships/hyperlink" Target="https://www.inrs.fr/publications/bdd/fichetox/fiche.html?refINRS=FICHETOX_227&amp;section=bibliographieAuteurs" TargetMode="External"/><Relationship Id="rId59" Type="http://schemas.openxmlformats.org/officeDocument/2006/relationships/hyperlink" Target="https://www.inrs.fr/publications/bdd/fichetox/fiche.html?refINRS=FICHETOX_227&amp;section=caracteristiques" TargetMode="External"/><Relationship Id="rId58" Type="http://schemas.openxmlformats.org/officeDocument/2006/relationships/hyperlink" Target="https://www.inrs.fr/publications/bdd/fichetox/fiche.html?refINRS=FICHETOX_227&amp;section=generalites" TargetMode="External"/><Relationship Id="rId61" Type="http://schemas.openxmlformats.org/officeDocument/2006/relationships/hyperlink" Target="https://www.inrs.fr/publications/bdd/fichetox/fiche.html?refINRS=FICHETOX_227&amp;section=incendieExplosion" TargetMode="External"/><Relationship Id="rId62" Type="http://schemas.openxmlformats.org/officeDocument/2006/relationships/hyperlink" Target="https://www.inrs.fr/publications/bdd/fichetox/fiche.html?refINRS=FICHETOX_227&amp;section=pathologieToxicologie" TargetMode="External"/><Relationship Id="rId64" Type="http://schemas.openxmlformats.org/officeDocument/2006/relationships/hyperlink" Target="https://www.inrs.fr/publications/bdd/fichetox/fiche.html?refINRS=FICHETOX_227&amp;section=recommandations" TargetMode="External"/><Relationship Id="rId63" Type="http://schemas.openxmlformats.org/officeDocument/2006/relationships/hyperlink" Target="https://www.inrs.fr/publications/bdd/fichetox/fiche.html?refINRS=FICHETOX_227&amp;section=reglementation" TargetMode="External"/><Relationship Id="rId46" Type="http://schemas.openxmlformats.org/officeDocument/2006/relationships/hyperlink" Target="https://www.inrs.fr/publications/bdd/fichetox/fiche.html?refINRS=FICHETOX_254" TargetMode="External"/><Relationship Id="rId49" Type="http://schemas.openxmlformats.org/officeDocument/2006/relationships/hyperlink" Target="https://www.inrs.fr/publications/bdd/fichetox/fiche.html?refINRS=FICHETOX_254&amp;section=VLEPMesurage" TargetMode="External"/><Relationship Id="rId54" Type="http://schemas.openxmlformats.org/officeDocument/2006/relationships/hyperlink" Target="https://www.inrs.fr/publications/bdd/fichetox/fiche.html?refINRS=FICHETOX_254&amp;section=bibliographieAuteurs" TargetMode="External"/><Relationship Id="rId48" Type="http://schemas.openxmlformats.org/officeDocument/2006/relationships/hyperlink" Target="https://www.inrs.fr/publications/bdd/fichetox/fiche.html?refINRS=FICHETOX_254&amp;section=caracteristiques" TargetMode="External"/><Relationship Id="rId47" Type="http://schemas.openxmlformats.org/officeDocument/2006/relationships/hyperlink" Target="https://www.inrs.fr/publications/bdd/fichetox/fiche.html?refINRS=FICHETOX_254&amp;section=generalites" TargetMode="External"/><Relationship Id="rId50" Type="http://schemas.openxmlformats.org/officeDocument/2006/relationships/hyperlink" Target="https://www.inrs.fr/publications/bdd/fichetox/fiche.html?refINRS=FICHETOX_254&amp;section=incendieExplosion" TargetMode="External"/><Relationship Id="rId51" Type="http://schemas.openxmlformats.org/officeDocument/2006/relationships/hyperlink" Target="https://www.inrs.fr/publications/bdd/fichetox/fiche.html?refINRS=FICHETOX_254&amp;section=pathologieToxicologie" TargetMode="External"/><Relationship Id="rId53" Type="http://schemas.openxmlformats.org/officeDocument/2006/relationships/hyperlink" Target="https://www.inrs.fr/publications/bdd/fichetox/fiche.html?refINRS=FICHETOX_254&amp;section=recommandations" TargetMode="External"/><Relationship Id="rId52" Type="http://schemas.openxmlformats.org/officeDocument/2006/relationships/hyperlink" Target="https://www.inrs.fr/publications/bdd/fichetox/fiche.html?refINRS=FICHETOX_254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2026-04-07T08:02:36Z</dcterms:created>
  <dcterms:modified xsi:type="dcterms:W3CDTF">2026-04-07T08:02:36Z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