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de-icer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Wynn’s Belgium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de-icer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analyse-des-dangers-de-icer"/>
    <w:p>
      <w:pPr>
        <w:pStyle w:val="Heading1"/>
      </w:pPr>
      <w:r>
        <w:t xml:space="preserve">Analyse des dangers : de-icer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de-icer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Wynn’s Belgium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limpide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≈ 8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antigel et de dégivrage destiné au grand public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2026-04-07.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P233</w:t>
      </w:r>
      <w:r>
        <w:t xml:space="preserve"> </w:t>
      </w:r>
      <w:r>
        <w:t xml:space="preserve">Maintenir le récipient fermé de manière étanche.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P403+P235</w:t>
      </w:r>
      <w:r>
        <w:t xml:space="preserve"> </w:t>
      </w:r>
      <w:r>
        <w:t xml:space="preserve">Stocker dans un endroit bien ventilé. Tenir au frais.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1993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les vêtements contaminés.</w:t>
      </w:r>
      <w:r>
        <w:t xml:space="preserve"> </w:t>
      </w:r>
      <w:r>
        <w:t xml:space="preserve">Laver les parties exposées avec un savon doux et de l’eau, puis rincer abondamment à l’eau chaude.</w:t>
      </w:r>
      <w:r>
        <w:t xml:space="preserve"> </w:t>
      </w:r>
      <w:r>
        <w:t xml:space="preserve">En cas d’irritation cutanée, consulter un médecin.</w:t>
      </w:r>
    </w:p>
    <w:p>
      <w:pPr>
        <w:pStyle w:val="BodyText"/>
      </w:pPr>
      <w:r>
        <w:t xml:space="preserve">eyes : Rincer les yeux avec précaution à l’eau pendant plusieurs minutes.</w:t>
      </w:r>
      <w:r>
        <w:t xml:space="preserve"> </w:t>
      </w:r>
      <w:r>
        <w:t xml:space="preserve">Enlever les lentilles de contact si la victime en porte et si elles peuvent être facilement retirées.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Si l’irritation persiste, consulter un médecin.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Appeler un centre antipoison ou un médecin en cas de malaise.</w:t>
      </w:r>
      <w:r>
        <w:t xml:space="preserve"> </w:t>
      </w:r>
      <w:r>
        <w:t xml:space="preserve">En cas d’ingestion à fortes doses, hospitalisation immédiate.</w:t>
      </w:r>
    </w:p>
    <w:p>
      <w:pPr>
        <w:pStyle w:val="BodyText"/>
      </w:pPr>
      <w:r>
        <w:t xml:space="preserve">inhalation : Si difficulté à respirer : transporter la victime à l’extérieur et la maintenir en position où elle peut respirer confortablement.</w:t>
      </w:r>
      <w:r>
        <w:t xml:space="preserve"> </w:t>
      </w:r>
      <w:r>
        <w:t xml:space="preserve">Appeler un centre antipoison ou un médecin en cas de malaise.</w:t>
      </w:r>
    </w:p>
    <w:p>
      <w:r>
        <w:br w:type="page"/>
      </w:r>
    </w:p>
    <w:bookmarkEnd w:id="37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éthanol"/>
    <w:p>
      <w:pPr>
        <w:pStyle w:val="Heading3"/>
      </w:pPr>
      <w:r>
        <w:t xml:space="preserve">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Matériaux possibles : néoprène, caoutchouc nitrile, chlorure de polyvinyl (PVC). • Temps de pénétration : à déterminer avec le fabricant des gants. • Temps de rupture : &gt; 30 min. • Épaisseur du matériau : &gt; 0,1 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Mentionnées comme équipement de protection individuelle requis. Aucun détail supplémentaire (type de verre, protection contre les éclaboussures, etc.) n’est fourni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Conformité à la réglementation. - Ne présente pas de risques particuliers dans les conditions normales d’hygiène industrielle. - Utiliser de bonnes mesures d’hygiène personnelle. - En cas de contact avec la peau : laver avec précaution et abondamment à l’eau et au savon, et laver les vêtements contaminés avant réutilisation.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le récipient fermé de manière étanche. - Protéger du rayonnement solaire. - Stocker dans un endroit bien ventilé. - Tenir à l’écart de la chaleur, des surfaces chaudes, des étincelles, des flammes nues et de toute autre source d’inflammation. - Ne pas fumer.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antigel et de dégivrage destiné au grand public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2026-04-07T08:11:51Z</dcterms:created>
  <dcterms:modified xsi:type="dcterms:W3CDTF">2026-04-07T08:11:51Z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