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demarragemoteur-holtsrosieres-bwok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Holt Lloyd International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demarragemoteur-holtsrosieres-bwok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8" w:name="X544648a044e91b9e4ed1a3981fc12c611ff1d1e"/>
    <w:p>
      <w:pPr>
        <w:pStyle w:val="Heading1"/>
      </w:pPr>
      <w:r>
        <w:t xml:space="preserve">Analyse des dangers : demarragemoteur-holtsrosieres-bwok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demarragemoteur-holtsrosieres-bwok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Holt Lloyd International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d’entretien automobile.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2015-09-07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2015-09-07.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naphtha (petroleum), hydrotreated light devrait être classée H340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naphtha (petroleum), hydrotreated light devrait être classée H350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naphtha (petroleum), hydrotreated light est classée H340 et sa concentration (10.0–30.0%) dépasse le seuil de 0.1%. Le produit devrait donc être classé H340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naphtha (petroleum), hydrotreated light est classée H350 et sa concentration (10.0–30.0%) dépasse le seuil de 0.1%. Le produit devrait donc être classé H350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4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4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5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5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5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5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5"/>
        </w:numPr>
      </w:pPr>
      <w:r>
        <w:t xml:space="preserve">P271</w:t>
      </w:r>
      <w:r>
        <w:t xml:space="preserve"> </w:t>
      </w:r>
      <w:r>
        <w:t xml:space="preserve">Utiliser seulement en plein air ou dans un endroit bien ventilé.</w:t>
      </w:r>
    </w:p>
    <w:p>
      <w:pPr>
        <w:numPr>
          <w:ilvl w:val="0"/>
          <w:numId w:val="1005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5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5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5"/>
        </w:numPr>
      </w:pPr>
      <w:r>
        <w:t xml:space="preserve">P312</w:t>
      </w:r>
      <w:r>
        <w:t xml:space="preserve"> </w:t>
      </w:r>
      <w:r>
        <w:t xml:space="preserve">P312</w:t>
      </w:r>
    </w:p>
    <w:p>
      <w:pPr>
        <w:numPr>
          <w:ilvl w:val="0"/>
          <w:numId w:val="1005"/>
        </w:numPr>
      </w:pPr>
      <w:r>
        <w:t xml:space="preserve">P321</w:t>
      </w:r>
      <w:r>
        <w:t xml:space="preserve"> </w:t>
      </w:r>
      <w:r>
        <w:t xml:space="preserve">Traitement spécifique (voir … sur cette étiquette).</w:t>
      </w:r>
    </w:p>
    <w:p>
      <w:pPr>
        <w:numPr>
          <w:ilvl w:val="0"/>
          <w:numId w:val="1005"/>
        </w:numPr>
      </w:pPr>
      <w:r>
        <w:t xml:space="preserve">P330</w:t>
      </w:r>
      <w:r>
        <w:t xml:space="preserve"> </w:t>
      </w:r>
      <w:r>
        <w:t xml:space="preserve">Rincer la bouche.</w:t>
      </w:r>
    </w:p>
    <w:p>
      <w:pPr>
        <w:numPr>
          <w:ilvl w:val="0"/>
          <w:numId w:val="1005"/>
        </w:numPr>
      </w:pPr>
      <w:r>
        <w:t xml:space="preserve">P332+P313</w:t>
      </w:r>
      <w:r>
        <w:t xml:space="preserve"> </w:t>
      </w:r>
      <w:r>
        <w:t xml:space="preserve">En cas d’irritation cutanée: consulter un médecin.</w:t>
      </w:r>
    </w:p>
    <w:p>
      <w:pPr>
        <w:numPr>
          <w:ilvl w:val="0"/>
          <w:numId w:val="1005"/>
        </w:numPr>
      </w:pPr>
      <w:r>
        <w:t xml:space="preserve">P362+P364</w:t>
      </w:r>
      <w:r>
        <w:t xml:space="preserve"> </w:t>
      </w:r>
      <w:r>
        <w:t xml:space="preserve">Enlever les vêtements contaminés et les laver avant réutilisation</w:t>
      </w:r>
    </w:p>
    <w:p>
      <w:pPr>
        <w:numPr>
          <w:ilvl w:val="0"/>
          <w:numId w:val="1005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de manière étanche.</w:t>
      </w:r>
    </w:p>
    <w:p>
      <w:pPr>
        <w:numPr>
          <w:ilvl w:val="0"/>
          <w:numId w:val="1005"/>
        </w:numPr>
      </w:pPr>
      <w:r>
        <w:t xml:space="preserve">P405</w:t>
      </w:r>
      <w:r>
        <w:t xml:space="preserve"> </w:t>
      </w:r>
      <w:r>
        <w:t xml:space="preserve">Garder sous clef.</w:t>
      </w:r>
    </w:p>
    <w:p>
      <w:pPr>
        <w:numPr>
          <w:ilvl w:val="0"/>
          <w:numId w:val="1005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2.1</w:t>
      </w:r>
    </w:p>
    <w:p>
      <w:pPr>
        <w:pStyle w:val="Compact"/>
        <w:numPr>
          <w:ilvl w:val="0"/>
          <w:numId w:val="1006"/>
        </w:numPr>
      </w:pPr>
      <w:r>
        <w:t xml:space="preserve">RID : 2.1</w:t>
      </w:r>
    </w:p>
    <w:p>
      <w:pPr>
        <w:pStyle w:val="Compact"/>
        <w:numPr>
          <w:ilvl w:val="0"/>
          <w:numId w:val="1006"/>
        </w:numPr>
      </w:pPr>
      <w:r>
        <w:t xml:space="preserve">ADN : 2.1</w:t>
      </w:r>
    </w:p>
    <w:p>
      <w:pPr>
        <w:pStyle w:val="Compact"/>
        <w:numPr>
          <w:ilvl w:val="0"/>
          <w:numId w:val="1006"/>
        </w:numPr>
      </w:pPr>
      <w:r>
        <w:t xml:space="preserve">IMDG : 2.1</w:t>
      </w:r>
    </w:p>
    <w:p>
      <w:pPr>
        <w:pStyle w:val="Compact"/>
        <w:numPr>
          <w:ilvl w:val="0"/>
          <w:numId w:val="1006"/>
        </w:numPr>
      </w:pPr>
      <w:r>
        <w:t xml:space="preserve">IATA : pas disponible</w:t>
      </w:r>
    </w:p>
    <w:p>
      <w:pPr>
        <w:pStyle w:val="Compact"/>
        <w:numPr>
          <w:ilvl w:val="0"/>
          <w:numId w:val="1006"/>
        </w:numPr>
      </w:pPr>
      <w:r>
        <w:t xml:space="preserve">UN : 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cutané | • Laver la peau soigneusement à l’eau et au savon.</w:t>
      </w:r>
      <w:r>
        <w:t xml:space="preserve">• Consulter un médecin si une gêne persiste.</w:t>
      </w:r>
    </w:p>
    <w:p>
      <w:pPr>
        <w:pStyle w:val="BodyText"/>
      </w:pPr>
      <w:r>
        <w:t xml:space="preserve">eyes : Contact oculaire | • Enlever les lentilles de contact.</w:t>
      </w:r>
      <w:r>
        <w:t xml:space="preserve">• Ouvrir largement les paupières.</w:t>
      </w:r>
      <w:r>
        <w:t xml:space="preserve">• Continuer de rincer pendant au moins 15 minutes.</w:t>
      </w:r>
      <w:r>
        <w:t xml:space="preserve">• Consulter un médecin si une gêne persiste.</w:t>
      </w:r>
    </w:p>
    <w:p>
      <w:pPr>
        <w:pStyle w:val="BodyText"/>
      </w:pPr>
      <w:r>
        <w:t xml:space="preserve">ingestion : Ingestion | • NE PAS faire vomir.</w:t>
      </w:r>
      <w:r>
        <w:t xml:space="preserve">• Consulter immédiatement un médecin.</w:t>
      </w:r>
    </w:p>
    <w:p>
      <w:pPr>
        <w:pStyle w:val="BodyText"/>
      </w:pPr>
      <w:r>
        <w:t xml:space="preserve">inhalation : Inhalation | • Déplacer immédiatement la personne touchée à l’air frais.</w:t>
      </w:r>
      <w:r>
        <w:t xml:space="preserve">• Garder la personne au chaud et au repos.</w:t>
      </w:r>
      <w:r>
        <w:t xml:space="preserve">• Consulter un médecin immédiatement.</w:t>
      </w:r>
    </w:p>
    <w:p>
      <w:r>
        <w:br w:type="page"/>
      </w:r>
    </w:p>
    <w:bookmarkEnd w:id="37"/>
    <w:bookmarkStart w:id="7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oxyde-de-diéthyle"/>
    <w:p>
      <w:pPr>
        <w:pStyle w:val="Heading3"/>
      </w:pPr>
      <w:r>
        <w:t xml:space="preserve">OXYDE DE DIÉTHYLE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60-29-7</w:t>
      </w:r>
    </w:p>
    <w:p>
      <w:pPr>
        <w:pStyle w:val="Compact"/>
        <w:numPr>
          <w:ilvl w:val="0"/>
          <w:numId w:val="1007"/>
        </w:numPr>
      </w:pPr>
      <w:r>
        <w:t xml:space="preserve">N° EINECS : 200-467-2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H224</w:t>
      </w:r>
      <w:r>
        <w:t xml:space="preserve"> </w:t>
      </w:r>
      <w:r>
        <w:t xml:space="preserve">Liquide et vapeurs extrêmement inflammables.</w:t>
      </w:r>
    </w:p>
    <w:p>
      <w:pPr>
        <w:numPr>
          <w:ilvl w:val="0"/>
          <w:numId w:val="1008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8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100.0 - VLE-8h (mg/m³) : 308.0 - VLE-15min (ppm) : 200.0 - VLE-15min (mg/m³) : 616.0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n°10 - Oxyde de diéthyle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Explosion[1-4, 6-8]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naphtha-petroleum-hydrotreated-light"/>
    <w:p>
      <w:pPr>
        <w:pStyle w:val="Heading3"/>
      </w:pPr>
      <w:r>
        <w:t xml:space="preserve">naphtha (petroleum), hydrotreated light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64742-49-0</w:t>
      </w:r>
    </w:p>
    <w:p>
      <w:pPr>
        <w:pStyle w:val="Compact"/>
        <w:numPr>
          <w:ilvl w:val="0"/>
          <w:numId w:val="1010"/>
        </w:numPr>
      </w:pPr>
      <w:r>
        <w:t xml:space="preserve">N° EINECS : 265-151-9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1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1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11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11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n°322 - Solvants aliphatiques en C5-C9</w:t>
        </w:r>
      </w:hyperlink>
    </w:p>
    <w:p>
      <w:pPr>
        <w:numPr>
          <w:ilvl w:val="0"/>
          <w:numId w:val="1012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2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Start w:id="61" w:name="oxyde-de-diisopropyle"/>
    <w:p>
      <w:pPr>
        <w:pStyle w:val="Heading3"/>
      </w:pPr>
      <w:r>
        <w:t xml:space="preserve">OXYDE DE DIISOPROPYLE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108-20-3</w:t>
      </w:r>
    </w:p>
    <w:p>
      <w:pPr>
        <w:pStyle w:val="Compact"/>
        <w:numPr>
          <w:ilvl w:val="0"/>
          <w:numId w:val="1013"/>
        </w:numPr>
      </w:pPr>
      <w:r>
        <w:t xml:space="preserve">N° EINECS : 203-560-6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250.0 - VLE-8h (mg/m³) : 1055.0 - VLE-15min (ppm) : 310.0 - VLE-15min (mg/m³) : 1319.0</w:t>
            </w:r>
          </w:p>
        </w:tc>
      </w:tr>
    </w:tbl>
    <w:bookmarkStart w:id="60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0"/>
    <w:bookmarkEnd w:id="61"/>
    <w:bookmarkStart w:id="72" w:name="acétone"/>
    <w:p>
      <w:pPr>
        <w:pStyle w:val="Heading3"/>
      </w:pPr>
      <w:r>
        <w:t xml:space="preserve">ACÉTONE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67-64-1</w:t>
      </w:r>
    </w:p>
    <w:p>
      <w:pPr>
        <w:pStyle w:val="Compact"/>
        <w:numPr>
          <w:ilvl w:val="0"/>
          <w:numId w:val="1015"/>
        </w:numPr>
      </w:pPr>
      <w:r>
        <w:t xml:space="preserve">N° EINECS : 200-662-2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6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246.0 - VLE-8h (mg/m³) : 594.0 - VLE-15min (ppm) : 492.0 - VLE-15min (mg/m³) : 1187.0</w:t>
            </w:r>
          </w:p>
        </w:tc>
      </w:tr>
    </w:tbl>
    <w:bookmarkStart w:id="7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2">
        <w:r>
          <w:rPr>
            <w:rStyle w:val="Hyperlink"/>
            <w:color w:val="0856A0"/>
            <w:u w:val="single"/>
          </w:rPr>
          <w:t xml:space="preserve">Fiche n°3 - Acétone</w:t>
        </w:r>
      </w:hyperlink>
    </w:p>
    <w:p>
      <w:pPr>
        <w:numPr>
          <w:ilvl w:val="0"/>
          <w:numId w:val="1017"/>
        </w:numPr>
      </w:pPr>
      <w:hyperlink r:id="rId6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7"/>
        </w:numPr>
      </w:pPr>
      <w:hyperlink r:id="rId6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7"/>
        </w:numPr>
      </w:pPr>
      <w:hyperlink r:id="rId6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7"/>
        </w:numPr>
      </w:pPr>
      <w:hyperlink r:id="rId66">
        <w:r>
          <w:rPr>
            <w:rStyle w:val="Hyperlink"/>
            <w:color w:val="0856A0"/>
            <w:u w:val="single"/>
          </w:rPr>
          <w:t xml:space="preserve">Incendie - Explosion[1-3, 26-28]</w:t>
        </w:r>
      </w:hyperlink>
    </w:p>
    <w:p>
      <w:pPr>
        <w:numPr>
          <w:ilvl w:val="0"/>
          <w:numId w:val="1017"/>
        </w:numPr>
      </w:pPr>
      <w:hyperlink r:id="rId6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7"/>
        </w:numPr>
      </w:pPr>
      <w:hyperlink r:id="rId6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7"/>
        </w:numPr>
      </w:pPr>
      <w:hyperlink r:id="rId6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7"/>
        </w:numPr>
      </w:pPr>
      <w:hyperlink r:id="rId7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1"/>
    <w:bookmarkEnd w:id="72"/>
    <w:bookmarkStart w:id="74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8"/>
        </w:numPr>
      </w:pPr>
      <w:r>
        <w:t xml:space="preserve">N° CAS : 106-97-8</w:t>
      </w:r>
    </w:p>
    <w:p>
      <w:pPr>
        <w:pStyle w:val="Compact"/>
        <w:numPr>
          <w:ilvl w:val="0"/>
          <w:numId w:val="1018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9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73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3"/>
    <w:bookmarkEnd w:id="74"/>
    <w:bookmarkEnd w:id="75"/>
    <w:bookmarkStart w:id="7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76"/>
    <w:bookmarkStart w:id="7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Tenir éloigné de la chaleur, des étincelles et d’une flamme nue. - Éviter tout déversement. - Éviter le contact avec la peau et les yeux. - Prévoir une ventilation suffisante. - Éviter l’inhalation de vapeurs. - Utiliser un appareil de protection respiratoire homologué si la contamination dans l’air est au-dessus du niveau acceptable.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 : - Conserver l’aérosol à l’écart de la chaleur, des étincelles, des flammes nues et de toute source d’inflammation. - Ne pas exposer le récipient aux rayons directs du soleil ni à des températures supérieures à 50 °C. - Stocker dans un endroit bien ventilé, à l’abri de la chaleur et de la lumière directe. - Éviter le contact avec des oxydants puissants, des bases fortes et des acides forts minéraux. - Classer le produit comme stockage de gaz comprimé.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d’entretien automobile.</w:t>
            </w:r>
          </w:p>
        </w:tc>
      </w:tr>
    </w:tbl>
    <w:bookmarkEnd w:id="77"/>
    <w:bookmarkEnd w:id="7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10" TargetMode="External"/><Relationship Id="rId41" Type="http://schemas.openxmlformats.org/officeDocument/2006/relationships/hyperlink" Target="https://www.inrs.fr/publications/bdd/fichetox/fiche.html?refINRS=FICHETOX_10&amp;section=VLEPMesurage" TargetMode="External"/><Relationship Id="rId46" Type="http://schemas.openxmlformats.org/officeDocument/2006/relationships/hyperlink" Target="https://www.inrs.fr/publications/bdd/fichetox/fiche.html?refINRS=FICHETOX_10&amp;section=bibliographieAuteurs" TargetMode="External"/><Relationship Id="rId40" Type="http://schemas.openxmlformats.org/officeDocument/2006/relationships/hyperlink" Target="https://www.inrs.fr/publications/bdd/fichetox/fiche.html?refINRS=FICHETOX_10&amp;section=caracteristiques" TargetMode="External"/><Relationship Id="rId39" Type="http://schemas.openxmlformats.org/officeDocument/2006/relationships/hyperlink" Target="https://www.inrs.fr/publications/bdd/fichetox/fiche.html?refINRS=FICHETOX_10&amp;section=generalites" TargetMode="External"/><Relationship Id="rId42" Type="http://schemas.openxmlformats.org/officeDocument/2006/relationships/hyperlink" Target="https://www.inrs.fr/publications/bdd/fichetox/fiche.html?refINRS=FICHETOX_10&amp;section=incendieExplosion" TargetMode="External"/><Relationship Id="rId43" Type="http://schemas.openxmlformats.org/officeDocument/2006/relationships/hyperlink" Target="https://www.inrs.fr/publications/bdd/fichetox/fiche.html?refINRS=FICHETOX_10&amp;section=pathologieToxicologie" TargetMode="External"/><Relationship Id="rId45" Type="http://schemas.openxmlformats.org/officeDocument/2006/relationships/hyperlink" Target="https://www.inrs.fr/publications/bdd/fichetox/fiche.html?refINRS=FICHETOX_10&amp;section=recommandations" TargetMode="External"/><Relationship Id="rId44" Type="http://schemas.openxmlformats.org/officeDocument/2006/relationships/hyperlink" Target="https://www.inrs.fr/publications/bdd/fichetox/fiche.html?refINRS=FICHETOX_10&amp;section=reglementation" TargetMode="External"/><Relationship Id="rId62" Type="http://schemas.openxmlformats.org/officeDocument/2006/relationships/hyperlink" Target="https://www.inrs.fr/publications/bdd/fichetox/fiche.html?refINRS=FICHETOX_3" TargetMode="External"/><Relationship Id="rId65" Type="http://schemas.openxmlformats.org/officeDocument/2006/relationships/hyperlink" Target="https://www.inrs.fr/publications/bdd/fichetox/fiche.html?refINRS=FICHETOX_3&amp;section=VLEPMesurage" TargetMode="External"/><Relationship Id="rId70" Type="http://schemas.openxmlformats.org/officeDocument/2006/relationships/hyperlink" Target="https://www.inrs.fr/publications/bdd/fichetox/fiche.html?refINRS=FICHETOX_3&amp;section=bibliographieAuteurs" TargetMode="External"/><Relationship Id="rId64" Type="http://schemas.openxmlformats.org/officeDocument/2006/relationships/hyperlink" Target="https://www.inrs.fr/publications/bdd/fichetox/fiche.html?refINRS=FICHETOX_3&amp;section=caracteristiques" TargetMode="External"/><Relationship Id="rId63" Type="http://schemas.openxmlformats.org/officeDocument/2006/relationships/hyperlink" Target="https://www.inrs.fr/publications/bdd/fichetox/fiche.html?refINRS=FICHETOX_3&amp;section=generalites" TargetMode="External"/><Relationship Id="rId66" Type="http://schemas.openxmlformats.org/officeDocument/2006/relationships/hyperlink" Target="https://www.inrs.fr/publications/bdd/fichetox/fiche.html?refINRS=FICHETOX_3&amp;section=incendieExplosion" TargetMode="External"/><Relationship Id="rId67" Type="http://schemas.openxmlformats.org/officeDocument/2006/relationships/hyperlink" Target="https://www.inrs.fr/publications/bdd/fichetox/fiche.html?refINRS=FICHETOX_3&amp;section=pathologieToxicologie" TargetMode="External"/><Relationship Id="rId69" Type="http://schemas.openxmlformats.org/officeDocument/2006/relationships/hyperlink" Target="https://www.inrs.fr/publications/bdd/fichetox/fiche.html?refINRS=FICHETOX_3&amp;section=recommandations" TargetMode="External"/><Relationship Id="rId68" Type="http://schemas.openxmlformats.org/officeDocument/2006/relationships/hyperlink" Target="https://www.inrs.fr/publications/bdd/fichetox/fiche.html?refINRS=FICHETOX_3&amp;section=reglementation" TargetMode="External"/><Relationship Id="rId49" Type="http://schemas.openxmlformats.org/officeDocument/2006/relationships/hyperlink" Target="https://www.inrs.fr/publications/bdd/fichetox/fiche.html?refINRS=FICHETOX_322" TargetMode="External"/><Relationship Id="rId52" Type="http://schemas.openxmlformats.org/officeDocument/2006/relationships/hyperlink" Target="https://www.inrs.fr/publications/bdd/fichetox/fiche.html?refINRS=FICHETOX_322&amp;section=VLEPMesurage" TargetMode="External"/><Relationship Id="rId57" Type="http://schemas.openxmlformats.org/officeDocument/2006/relationships/hyperlink" Target="https://www.inrs.fr/publications/bdd/fichetox/fiche.html?refINRS=FICHETOX_322&amp;section=bibliographieAuteurs" TargetMode="External"/><Relationship Id="rId51" Type="http://schemas.openxmlformats.org/officeDocument/2006/relationships/hyperlink" Target="https://www.inrs.fr/publications/bdd/fichetox/fiche.html?refINRS=FICHETOX_322&amp;section=caracteristiques" TargetMode="External"/><Relationship Id="rId50" Type="http://schemas.openxmlformats.org/officeDocument/2006/relationships/hyperlink" Target="https://www.inrs.fr/publications/bdd/fichetox/fiche.html?refINRS=FICHETOX_322&amp;section=generalites" TargetMode="External"/><Relationship Id="rId53" Type="http://schemas.openxmlformats.org/officeDocument/2006/relationships/hyperlink" Target="https://www.inrs.fr/publications/bdd/fichetox/fiche.html?refINRS=FICHETOX_322&amp;section=incendieExplosion" TargetMode="External"/><Relationship Id="rId54" Type="http://schemas.openxmlformats.org/officeDocument/2006/relationships/hyperlink" Target="https://www.inrs.fr/publications/bdd/fichetox/fiche.html?refINRS=FICHETOX_322&amp;section=pathologieToxicologie" TargetMode="External"/><Relationship Id="rId56" Type="http://schemas.openxmlformats.org/officeDocument/2006/relationships/hyperlink" Target="https://www.inrs.fr/publications/bdd/fichetox/fiche.html?refINRS=FICHETOX_322&amp;section=recommandations" TargetMode="External"/><Relationship Id="rId55" Type="http://schemas.openxmlformats.org/officeDocument/2006/relationships/hyperlink" Target="https://www.inrs.fr/publications/bdd/fichetox/fiche.html?refINRS=FICHETOX_322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10" TargetMode="External"/><Relationship Id="rId41" Type="http://schemas.openxmlformats.org/officeDocument/2006/relationships/hyperlink" Target="https://www.inrs.fr/publications/bdd/fichetox/fiche.html?refINRS=FICHETOX_10&amp;section=VLEPMesurage" TargetMode="External"/><Relationship Id="rId46" Type="http://schemas.openxmlformats.org/officeDocument/2006/relationships/hyperlink" Target="https://www.inrs.fr/publications/bdd/fichetox/fiche.html?refINRS=FICHETOX_10&amp;section=bibliographieAuteurs" TargetMode="External"/><Relationship Id="rId40" Type="http://schemas.openxmlformats.org/officeDocument/2006/relationships/hyperlink" Target="https://www.inrs.fr/publications/bdd/fichetox/fiche.html?refINRS=FICHETOX_10&amp;section=caracteristiques" TargetMode="External"/><Relationship Id="rId39" Type="http://schemas.openxmlformats.org/officeDocument/2006/relationships/hyperlink" Target="https://www.inrs.fr/publications/bdd/fichetox/fiche.html?refINRS=FICHETOX_10&amp;section=generalites" TargetMode="External"/><Relationship Id="rId42" Type="http://schemas.openxmlformats.org/officeDocument/2006/relationships/hyperlink" Target="https://www.inrs.fr/publications/bdd/fichetox/fiche.html?refINRS=FICHETOX_10&amp;section=incendieExplosion" TargetMode="External"/><Relationship Id="rId43" Type="http://schemas.openxmlformats.org/officeDocument/2006/relationships/hyperlink" Target="https://www.inrs.fr/publications/bdd/fichetox/fiche.html?refINRS=FICHETOX_10&amp;section=pathologieToxicologie" TargetMode="External"/><Relationship Id="rId45" Type="http://schemas.openxmlformats.org/officeDocument/2006/relationships/hyperlink" Target="https://www.inrs.fr/publications/bdd/fichetox/fiche.html?refINRS=FICHETOX_10&amp;section=recommandations" TargetMode="External"/><Relationship Id="rId44" Type="http://schemas.openxmlformats.org/officeDocument/2006/relationships/hyperlink" Target="https://www.inrs.fr/publications/bdd/fichetox/fiche.html?refINRS=FICHETOX_10&amp;section=reglementation" TargetMode="External"/><Relationship Id="rId62" Type="http://schemas.openxmlformats.org/officeDocument/2006/relationships/hyperlink" Target="https://www.inrs.fr/publications/bdd/fichetox/fiche.html?refINRS=FICHETOX_3" TargetMode="External"/><Relationship Id="rId65" Type="http://schemas.openxmlformats.org/officeDocument/2006/relationships/hyperlink" Target="https://www.inrs.fr/publications/bdd/fichetox/fiche.html?refINRS=FICHETOX_3&amp;section=VLEPMesurage" TargetMode="External"/><Relationship Id="rId70" Type="http://schemas.openxmlformats.org/officeDocument/2006/relationships/hyperlink" Target="https://www.inrs.fr/publications/bdd/fichetox/fiche.html?refINRS=FICHETOX_3&amp;section=bibliographieAuteurs" TargetMode="External"/><Relationship Id="rId64" Type="http://schemas.openxmlformats.org/officeDocument/2006/relationships/hyperlink" Target="https://www.inrs.fr/publications/bdd/fichetox/fiche.html?refINRS=FICHETOX_3&amp;section=caracteristiques" TargetMode="External"/><Relationship Id="rId63" Type="http://schemas.openxmlformats.org/officeDocument/2006/relationships/hyperlink" Target="https://www.inrs.fr/publications/bdd/fichetox/fiche.html?refINRS=FICHETOX_3&amp;section=generalites" TargetMode="External"/><Relationship Id="rId66" Type="http://schemas.openxmlformats.org/officeDocument/2006/relationships/hyperlink" Target="https://www.inrs.fr/publications/bdd/fichetox/fiche.html?refINRS=FICHETOX_3&amp;section=incendieExplosion" TargetMode="External"/><Relationship Id="rId67" Type="http://schemas.openxmlformats.org/officeDocument/2006/relationships/hyperlink" Target="https://www.inrs.fr/publications/bdd/fichetox/fiche.html?refINRS=FICHETOX_3&amp;section=pathologieToxicologie" TargetMode="External"/><Relationship Id="rId69" Type="http://schemas.openxmlformats.org/officeDocument/2006/relationships/hyperlink" Target="https://www.inrs.fr/publications/bdd/fichetox/fiche.html?refINRS=FICHETOX_3&amp;section=recommandations" TargetMode="External"/><Relationship Id="rId68" Type="http://schemas.openxmlformats.org/officeDocument/2006/relationships/hyperlink" Target="https://www.inrs.fr/publications/bdd/fichetox/fiche.html?refINRS=FICHETOX_3&amp;section=reglementation" TargetMode="External"/><Relationship Id="rId49" Type="http://schemas.openxmlformats.org/officeDocument/2006/relationships/hyperlink" Target="https://www.inrs.fr/publications/bdd/fichetox/fiche.html?refINRS=FICHETOX_322" TargetMode="External"/><Relationship Id="rId52" Type="http://schemas.openxmlformats.org/officeDocument/2006/relationships/hyperlink" Target="https://www.inrs.fr/publications/bdd/fichetox/fiche.html?refINRS=FICHETOX_322&amp;section=VLEPMesurage" TargetMode="External"/><Relationship Id="rId57" Type="http://schemas.openxmlformats.org/officeDocument/2006/relationships/hyperlink" Target="https://www.inrs.fr/publications/bdd/fichetox/fiche.html?refINRS=FICHETOX_322&amp;section=bibliographieAuteurs" TargetMode="External"/><Relationship Id="rId51" Type="http://schemas.openxmlformats.org/officeDocument/2006/relationships/hyperlink" Target="https://www.inrs.fr/publications/bdd/fichetox/fiche.html?refINRS=FICHETOX_322&amp;section=caracteristiques" TargetMode="External"/><Relationship Id="rId50" Type="http://schemas.openxmlformats.org/officeDocument/2006/relationships/hyperlink" Target="https://www.inrs.fr/publications/bdd/fichetox/fiche.html?refINRS=FICHETOX_322&amp;section=generalites" TargetMode="External"/><Relationship Id="rId53" Type="http://schemas.openxmlformats.org/officeDocument/2006/relationships/hyperlink" Target="https://www.inrs.fr/publications/bdd/fichetox/fiche.html?refINRS=FICHETOX_322&amp;section=incendieExplosion" TargetMode="External"/><Relationship Id="rId54" Type="http://schemas.openxmlformats.org/officeDocument/2006/relationships/hyperlink" Target="https://www.inrs.fr/publications/bdd/fichetox/fiche.html?refINRS=FICHETOX_322&amp;section=pathologieToxicologie" TargetMode="External"/><Relationship Id="rId56" Type="http://schemas.openxmlformats.org/officeDocument/2006/relationships/hyperlink" Target="https://www.inrs.fr/publications/bdd/fichetox/fiche.html?refINRS=FICHETOX_322&amp;section=recommandations" TargetMode="External"/><Relationship Id="rId55" Type="http://schemas.openxmlformats.org/officeDocument/2006/relationships/hyperlink" Target="https://www.inrs.fr/publications/bdd/fichetox/fiche.html?refINRS=FICHETOX_322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2026-04-07T08:16:36Z</dcterms:created>
  <dcterms:modified xsi:type="dcterms:W3CDTF">2026-04-07T08:16:36Z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