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_propanefr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Merck Life Science BV/SRL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2026-04-07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 **_propanefr**.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54" w:name="analyse-des-dangers-_propanefr"/>
    <w:p>
      <w:pPr>
        <w:pStyle w:val="Heading1"/>
      </w:pPr>
      <w:r>
        <w:t xml:space="preserve">Analyse des dangers : _propanefr</w:t>
      </w:r>
    </w:p>
    <w:p>
      <w:pPr>
        <w:pStyle w:val="FirstParagraph"/>
      </w:pPr>
      <w:r>
        <w:t xml:space="preserve">Dans la suite, nous détaillons les dangers associés au produit **_propanefr**,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Merck Life Science BV/SRL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chimique pour la synthèse.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2022-05-30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2022-05-30. Elle a donc 3 an(s).</w:t>
      </w:r>
      <w:r>
        <w:t xml:space="preserve"> </w:t>
      </w:r>
      <w:r>
        <w:t xml:space="preserve">La FDS ayant plus de 3 ans, il est</w:t>
      </w:r>
      <w:r>
        <w:t xml:space="preserve"> </w:t>
      </w:r>
      <w:r>
        <w:rPr>
          <w:i/>
          <w:iCs/>
        </w:rPr>
        <w:t xml:space="preserve">recommandé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a identifié les erreurs de classification potentielles suivantes dans la FDS :</w:t>
      </w:r>
    </w:p>
    <w:p>
      <w:pPr>
        <w:pStyle w:val="BodyText"/>
      </w:pPr>
      <w:r>
        <w:t xml:space="preserve">Erreur lors de la generation du resume: peer closed connection without sending complete message body (incomplete chunked read)</w:t>
      </w:r>
    </w:p>
    <w:bookmarkEnd w:id="28"/>
    <w:bookmarkEnd w:id="29"/>
    <w:bookmarkStart w:id="45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Inflammable" title="" id="31" name="Picture"/>
            <a:graphic>
              <a:graphicData uri="http://schemas.openxmlformats.org/drawingml/2006/picture">
                <pic:pic>
                  <pic:nvPicPr>
                    <pic:cNvPr descr="templates/SGH02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Inflammable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Corrosif" title="" id="34" name="Picture"/>
            <a:graphic>
              <a:graphicData uri="http://schemas.openxmlformats.org/drawingml/2006/picture">
                <pic:pic>
                  <pic:nvPicPr>
                    <pic:cNvPr descr="templates/SGH05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Corrosif</w:t>
      </w:r>
      <w:r>
        <w:t xml:space="preserve"> </w:t>
      </w:r>
      <w:r>
        <w:drawing>
          <wp:inline>
            <wp:extent cx="719999" cy="719999"/>
            <wp:effectExtent b="0" l="0" r="0" t="0"/>
            <wp:docPr descr="Toxicité aiguë" title="" id="37" name="Picture"/>
            <a:graphic>
              <a:graphicData uri="http://schemas.openxmlformats.org/drawingml/2006/picture">
                <pic:pic>
                  <pic:nvPicPr>
                    <pic:cNvPr descr="templates/SGH06.png" id="38" name="Picture"/>
                    <pic:cNvPicPr>
                      <a:picLocks noChangeArrowheads="1"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Toxicité aiguë</w:t>
      </w:r>
      <w:r>
        <w:t xml:space="preserve"> </w:t>
      </w:r>
      <w:r>
        <w:drawing>
          <wp:inline>
            <wp:extent cx="719999" cy="719999"/>
            <wp:effectExtent b="0" l="0" r="0" t="0"/>
            <wp:docPr descr="Nocif / Irritant" title="" id="40" name="Picture"/>
            <a:graphic>
              <a:graphicData uri="http://schemas.openxmlformats.org/drawingml/2006/picture">
                <pic:pic>
                  <pic:nvPicPr>
                    <pic:cNvPr descr="templates/SGH07.png" id="41" name="Picture"/>
                    <pic:cNvPicPr>
                      <a:picLocks noChangeArrowheads="1"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  <w:r>
        <w:t xml:space="preserve"> </w:t>
      </w:r>
      <w:r>
        <w:drawing>
          <wp:inline>
            <wp:extent cx="719999" cy="719999"/>
            <wp:effectExtent b="0" l="0" r="0" t="0"/>
            <wp:docPr descr="Grave pour la santé" title="" id="43" name="Picture"/>
            <a:graphic>
              <a:graphicData uri="http://schemas.openxmlformats.org/drawingml/2006/picture">
                <pic:pic>
                  <pic:nvPicPr>
                    <pic:cNvPr descr="templates/SGH08.png" id="44" name="Picture"/>
                    <pic:cNvPicPr>
                      <a:picLocks noChangeArrowheads="1"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Grave pour la santé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H226</w:t>
      </w:r>
      <w:r>
        <w:t xml:space="preserve"> </w:t>
      </w:r>
      <w:r>
        <w:t xml:space="preserve">Liquide et vapeurs inflammables.</w:t>
      </w:r>
    </w:p>
    <w:p>
      <w:pPr>
        <w:numPr>
          <w:ilvl w:val="0"/>
          <w:numId w:val="1003"/>
        </w:numPr>
      </w:pPr>
      <w:r>
        <w:t xml:space="preserve">H290</w:t>
      </w:r>
      <w:r>
        <w:t xml:space="preserve"> </w:t>
      </w:r>
      <w:r>
        <w:t xml:space="preserve">Peut être corrosif pour les métaux.</w:t>
      </w:r>
    </w:p>
    <w:p>
      <w:pPr>
        <w:numPr>
          <w:ilvl w:val="0"/>
          <w:numId w:val="1003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03"/>
        </w:numPr>
      </w:pPr>
      <w:r>
        <w:t xml:space="preserve">H310</w:t>
      </w:r>
      <w:r>
        <w:t xml:space="preserve"> </w:t>
      </w:r>
      <w:r>
        <w:t xml:space="preserve">Mortel par contact cutané.</w:t>
      </w:r>
    </w:p>
    <w:p>
      <w:pPr>
        <w:numPr>
          <w:ilvl w:val="0"/>
          <w:numId w:val="1003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03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03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03"/>
        </w:numPr>
      </w:pPr>
      <w:r>
        <w:t xml:space="preserve">H334</w:t>
      </w:r>
      <w:r>
        <w:t xml:space="preserve"> </w:t>
      </w:r>
      <w:r>
        <w:t xml:space="preserve">Peut provoquer des symptômes allergiques ou d’asthme ou des difficultés respiratoires par inhalation.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P210</w:t>
      </w:r>
      <w:r>
        <w:t xml:space="preserve"> </w:t>
      </w:r>
      <w:r>
        <w:t xml:space="preserve">P210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P301+P312</w:t>
      </w:r>
      <w:r>
        <w:t xml:space="preserve"> </w:t>
      </w:r>
      <w:r>
        <w:t xml:space="preserve">EN CAS D’INGESTION:</w:t>
      </w:r>
    </w:p>
    <w:p>
      <w:pPr>
        <w:numPr>
          <w:ilvl w:val="0"/>
          <w:numId w:val="1004"/>
        </w:numPr>
      </w:pPr>
      <w:r>
        <w:t xml:space="preserve">P303+P361+P353</w:t>
      </w:r>
      <w:r>
        <w:t xml:space="preserve"> </w:t>
      </w:r>
      <w:r>
        <w:t xml:space="preserve">EN CAS DE CONTACT AVEC LA PEAU (ou les cheveux):</w:t>
      </w:r>
    </w:p>
    <w:p>
      <w:pPr>
        <w:numPr>
          <w:ilvl w:val="0"/>
          <w:numId w:val="1004"/>
        </w:numPr>
      </w:pPr>
      <w:r>
        <w:t xml:space="preserve">P304+P340+P310</w:t>
      </w:r>
      <w:r>
        <w:t xml:space="preserve"> </w:t>
      </w:r>
      <w:r>
        <w:t xml:space="preserve">EN CAS D’INHALATION:</w:t>
      </w:r>
    </w:p>
    <w:p>
      <w:pPr>
        <w:numPr>
          <w:ilvl w:val="0"/>
          <w:numId w:val="1004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3 (6.1, 8)</w:t>
      </w:r>
    </w:p>
    <w:p>
      <w:pPr>
        <w:pStyle w:val="Compact"/>
        <w:numPr>
          <w:ilvl w:val="0"/>
          <w:numId w:val="1005"/>
        </w:numPr>
      </w:pPr>
      <w:r>
        <w:t xml:space="preserve">RID : 3 (6.1, 8)</w:t>
      </w:r>
    </w:p>
    <w:p>
      <w:pPr>
        <w:pStyle w:val="Compact"/>
        <w:numPr>
          <w:ilvl w:val="0"/>
          <w:numId w:val="1005"/>
        </w:numPr>
      </w:pPr>
      <w:r>
        <w:t xml:space="preserve">ADN : pas disponible</w:t>
      </w:r>
    </w:p>
    <w:p>
      <w:pPr>
        <w:pStyle w:val="Compact"/>
        <w:numPr>
          <w:ilvl w:val="0"/>
          <w:numId w:val="1005"/>
        </w:numPr>
      </w:pPr>
      <w:r>
        <w:t xml:space="preserve">IMDG : 3 (6.1, 8)</w:t>
      </w:r>
    </w:p>
    <w:p>
      <w:pPr>
        <w:pStyle w:val="Compact"/>
        <w:numPr>
          <w:ilvl w:val="0"/>
          <w:numId w:val="1005"/>
        </w:numPr>
      </w:pPr>
      <w:r>
        <w:t xml:space="preserve">IATA : 3 (6.1, 8)</w:t>
      </w:r>
    </w:p>
    <w:p>
      <w:pPr>
        <w:pStyle w:val="Compact"/>
        <w:numPr>
          <w:ilvl w:val="0"/>
          <w:numId w:val="1005"/>
        </w:numPr>
      </w:pPr>
      <w:r>
        <w:t xml:space="preserve">UN : 3286</w:t>
      </w:r>
    </w:p>
    <w:bookmarkEnd w:id="45"/>
    <w:bookmarkStart w:id="46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• Enlever immédiatement tous les vêtements contaminés.</w:t>
      </w:r>
      <w:r>
        <w:t xml:space="preserve"> </w:t>
      </w:r>
      <w:r>
        <w:t xml:space="preserve">• Rincer abondamment la peau à l’eau claire (ou se doucher).</w:t>
      </w:r>
      <w:r>
        <w:t xml:space="preserve"> </w:t>
      </w:r>
      <w:r>
        <w:t xml:space="preserve">• Appeler immédiatement un médecin.</w:t>
      </w:r>
    </w:p>
    <w:p>
      <w:pPr>
        <w:pStyle w:val="BodyText"/>
      </w:pPr>
      <w:r>
        <w:t xml:space="preserve">eyes : • Rincer abondamment les yeux à l’eau claire pendant plusieurs minutes.</w:t>
      </w:r>
      <w:r>
        <w:t xml:space="preserve"> </w:t>
      </w:r>
      <w:r>
        <w:t xml:space="preserve">• Enlever les lentilles de contact si la victime en porte et si elles peuvent être facilement retirées.</w:t>
      </w:r>
      <w:r>
        <w:t xml:space="preserve"> </w:t>
      </w:r>
      <w:r>
        <w:t xml:space="preserve">• Consulter immédiatement un ophtalmologiste.</w:t>
      </w:r>
    </w:p>
    <w:p>
      <w:pPr>
        <w:pStyle w:val="BodyText"/>
      </w:pPr>
      <w:r>
        <w:t xml:space="preserve">ingestion : • Faire boire de l’eau (maximum 2 verres).</w:t>
      </w:r>
      <w:r>
        <w:t xml:space="preserve"> </w:t>
      </w:r>
      <w:r>
        <w:t xml:space="preserve">• Éviter le vomissement (risque de perforation).</w:t>
      </w:r>
      <w:r>
        <w:t xml:space="preserve"> </w:t>
      </w:r>
      <w:r>
        <w:t xml:space="preserve">• Appeler immédiatement un centre antipoison ou un médecin.</w:t>
      </w:r>
      <w:r>
        <w:t xml:space="preserve"> </w:t>
      </w:r>
      <w:r>
        <w:t xml:space="preserve">• Ne pas tenter de neutraliser.</w:t>
      </w:r>
    </w:p>
    <w:p>
      <w:pPr>
        <w:pStyle w:val="BodyText"/>
      </w:pPr>
      <w:r>
        <w:t xml:space="preserve">inhalation : • Faire respirer de l’air frais.</w:t>
      </w:r>
      <w:r>
        <w:t xml:space="preserve"> </w:t>
      </w:r>
      <w:r>
        <w:t xml:space="preserve">• Transporter la personne à l’extérieur et la maintenir dans une position confortable pour respirer.</w:t>
      </w:r>
      <w:r>
        <w:t xml:space="preserve"> </w:t>
      </w:r>
      <w:r>
        <w:t xml:space="preserve">• Appeler immédiatement un centre antipoison ou un médecin.</w:t>
      </w:r>
    </w:p>
    <w:p>
      <w:r>
        <w:br w:type="page"/>
      </w:r>
    </w:p>
    <w:bookmarkEnd w:id="46"/>
    <w:bookmarkStart w:id="51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8" w:name="trimethylenediamine"/>
    <w:p>
      <w:pPr>
        <w:pStyle w:val="Heading3"/>
      </w:pPr>
      <w:r>
        <w:t xml:space="preserve">Trimethylenediamine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109-76-2</w:t>
      </w:r>
    </w:p>
    <w:p>
      <w:pPr>
        <w:pStyle w:val="Compact"/>
        <w:numPr>
          <w:ilvl w:val="0"/>
          <w:numId w:val="1006"/>
        </w:numPr>
      </w:pPr>
      <w:r>
        <w:t xml:space="preserve">N° EINECS : 203-702-7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100.0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H226</w:t>
      </w:r>
      <w:r>
        <w:t xml:space="preserve"> </w:t>
      </w:r>
      <w:r>
        <w:t xml:space="preserve">Liquide et vapeurs inflammables.</w:t>
      </w:r>
    </w:p>
    <w:p>
      <w:pPr>
        <w:numPr>
          <w:ilvl w:val="0"/>
          <w:numId w:val="1007"/>
        </w:numPr>
      </w:pPr>
      <w:r>
        <w:t xml:space="preserve">H290</w:t>
      </w:r>
      <w:r>
        <w:t xml:space="preserve"> </w:t>
      </w:r>
      <w:r>
        <w:t xml:space="preserve">Peut être corrosif pour les métaux.</w:t>
      </w:r>
    </w:p>
    <w:p>
      <w:pPr>
        <w:numPr>
          <w:ilvl w:val="0"/>
          <w:numId w:val="1007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07"/>
        </w:numPr>
      </w:pPr>
      <w:r>
        <w:t xml:space="preserve">H310</w:t>
      </w:r>
      <w:r>
        <w:t xml:space="preserve"> </w:t>
      </w:r>
      <w:r>
        <w:t xml:space="preserve">Mortel par contact cutané.</w:t>
      </w:r>
    </w:p>
    <w:p>
      <w:pPr>
        <w:numPr>
          <w:ilvl w:val="0"/>
          <w:numId w:val="1007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07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07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07"/>
        </w:numPr>
      </w:pPr>
      <w:r>
        <w:t xml:space="preserve">H334</w:t>
      </w:r>
      <w:r>
        <w:t xml:space="preserve"> </w:t>
      </w:r>
      <w:r>
        <w:t xml:space="preserve">Peut provoquer des symptômes allergiques ou d’asthme ou des difficultés respiratoires par inhalation.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7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7"/>
    <w:bookmarkEnd w:id="48"/>
    <w:bookmarkStart w:id="50" w:name="dipropylenetriamine"/>
    <w:p>
      <w:pPr>
        <w:pStyle w:val="Heading3"/>
      </w:pPr>
      <w:r>
        <w:t xml:space="preserve">Dipropylenetriamine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8"/>
        </w:numPr>
      </w:pPr>
      <w:r>
        <w:t xml:space="preserve">N° CAS : 56-18-8</w:t>
      </w:r>
    </w:p>
    <w:p>
      <w:pPr>
        <w:pStyle w:val="Compact"/>
        <w:numPr>
          <w:ilvl w:val="0"/>
          <w:numId w:val="1008"/>
        </w:numPr>
      </w:pPr>
      <w:r>
        <w:t xml:space="preserve">N° EINECS : 200-261-2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0.1 to 1.0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9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09"/>
        </w:numPr>
      </w:pPr>
      <w:r>
        <w:t xml:space="preserve">H311</w:t>
      </w:r>
      <w:r>
        <w:t xml:space="preserve"> </w:t>
      </w:r>
      <w:r>
        <w:t xml:space="preserve">Toxique par contact cutané.</w:t>
      </w:r>
    </w:p>
    <w:p>
      <w:pPr>
        <w:numPr>
          <w:ilvl w:val="0"/>
          <w:numId w:val="1009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09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09"/>
        </w:numPr>
      </w:pPr>
      <w:r>
        <w:t xml:space="preserve">H330</w:t>
      </w:r>
      <w:r>
        <w:t xml:space="preserve"> </w:t>
      </w:r>
      <w:r>
        <w:t xml:space="preserve">Fatal if inhaled.</w:t>
      </w:r>
    </w:p>
    <w:p>
      <w:pPr>
        <w:numPr>
          <w:ilvl w:val="0"/>
          <w:numId w:val="1009"/>
        </w:numPr>
      </w:pPr>
      <w:r>
        <w:t xml:space="preserve">H341</w:t>
      </w:r>
      <w:r>
        <w:t xml:space="preserve"> </w:t>
      </w:r>
      <w:r>
        <w:t xml:space="preserve">Susceptible d’induire des anomalies génétiques.</w:t>
      </w:r>
    </w:p>
    <w:p>
      <w:pPr>
        <w:numPr>
          <w:ilvl w:val="0"/>
          <w:numId w:val="1009"/>
        </w:numPr>
      </w:pPr>
      <w:r>
        <w:t xml:space="preserve">H373</w:t>
      </w:r>
      <w:r>
        <w:t xml:space="preserve"> </w:t>
      </w:r>
      <w:r>
        <w:t xml:space="preserve">Risque présumé d’effets graves pour les organes à la suite d’expositions répétées ou d’une exposition prolongée.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9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9"/>
    <w:bookmarkEnd w:id="50"/>
    <w:bookmarkEnd w:id="51"/>
    <w:bookmarkStart w:id="52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Contact total (pour les éclaboussures) : gants en Viton®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 - Épaisseur minimale : 0,7 mm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 - Délai de rupture : 480 min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 - Matériau testé : Vitoject® (KCL 890 / Aldrich Z677698, Taille M)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Contact éclaboussures : gants en caoutchouc nitrile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 - Épaisseur minimale : 0,4 mm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 - Délai de rupture : 60 min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 - Matériau testé : Camatril® (KCL 730 / Aldrich Z677442, Taille M)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des yeux / du visage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Contact total (pour les éclaboussures) : gants en Viton®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 - Épaisseur minimale : 0,7 mm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 - Délai de rupture : 480 min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 - Matériau testé : Vitoject® (KCL 890 / Aldrich Z677698, Taille M)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Contact éclaboussures : gants en caoutchouc nitrile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 - Épaisseur minimale : 0,4 mm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 - Délai de rupture : 60 min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 - Matériau testé : Camatril® (KCL 730 / Aldrich Z677442, Taille M)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respiratoire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du corps</w:t>
            </w:r>
          </w:p>
        </w:tc>
      </w:tr>
    </w:tbl>
    <w:bookmarkEnd w:id="52"/>
    <w:bookmarkStart w:id="53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 : - Travailler sous une hotte. - Ne pas inhaler la substance/le mélange. - Éviter les vapeurs/les aérosols. - Tenir à l’abri des flammes nues, des surfaces chaudes et des sources d’inflammation. - Prendre des mesures de précaution contre les décharges électrostatiques. - Enlever immédiatement tout vêtement souillé. - Protection préventive de la peau. - Se laver les mains et le visage après le travail.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 (et incompatibilités éventuelles) - Pas de récipients en métal. - Tenir le récipient bien fermé dans un endroit sec et bien aéré. - Tenir à l’écart de la chaleur et des sources d’ignition. - Conserver sous clé ou dans une zone accessible uniquement aux personnes qualifiées ou autorisées. - Température de stockage recommandée : voir l’étiquette du produit. - Classe de stockage (Allemagne) (TRGS 510) : 3 — Liquides inflammables.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chimique pour la synthèse.</w:t>
            </w:r>
          </w:p>
        </w:tc>
      </w:tr>
    </w:tbl>
    <w:bookmarkEnd w:id="53"/>
    <w:bookmarkEnd w:id="54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36" Type="http://schemas.openxmlformats.org/officeDocument/2006/relationships/image" Target="media/rId36.png"/><Relationship Id="rId39" Type="http://schemas.openxmlformats.org/officeDocument/2006/relationships/image" Target="media/rId39.png"/><Relationship Id="rId42" Type="http://schemas.openxmlformats.org/officeDocument/2006/relationships/image" Target="media/rId42.png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2026-04-07T09:07:37Z</dcterms:created>
  <dcterms:modified xsi:type="dcterms:W3CDTF">2026-04-07T09:07:37Z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