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bouteilledecalibrationdtecteur4gaz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Honeywell Analytics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bouteilledecalibrationdtecteur4gaz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X952d9a45f18dcca95a447ffb8f4619c9b5d56cf"/>
    <w:p>
      <w:pPr>
        <w:pStyle w:val="Heading1"/>
      </w:pPr>
      <w:r>
        <w:t xml:space="preserve">Analyse des dangers : bouteilledecalibrationdtecteur4gaz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bouteilledecalibrationdtecteur4gaz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Honeywell Analytics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Cylindre de 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2012-10-18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2012-10-18. Elle a donc 13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42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Toxicité aiguë" title="" id="31" name="Picture"/>
            <a:graphic>
              <a:graphicData uri="http://schemas.openxmlformats.org/drawingml/2006/picture">
                <pic:pic>
                  <pic:nvPicPr>
                    <pic:cNvPr descr="templates/SGH06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  <w:r>
        <w:t xml:space="preserve"> </w:t>
      </w: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  <w:r>
        <w:t xml:space="preserve"> </w:t>
      </w:r>
      <w:r>
        <w:drawing>
          <wp:inline>
            <wp:extent cx="719999" cy="719999"/>
            <wp:effectExtent b="0" l="0" r="0" t="0"/>
            <wp:docPr descr="Danger pour l’environnement" title="" id="40" name="Picture"/>
            <a:graphic>
              <a:graphicData uri="http://schemas.openxmlformats.org/drawingml/2006/picture">
                <pic:pic>
                  <pic:nvPicPr>
                    <pic:cNvPr descr="templates/SGH09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H330</w:t>
      </w:r>
      <w:r>
        <w:t xml:space="preserve"> </w:t>
      </w:r>
      <w:r>
        <w:t xml:space="preserve">Létal par inhalation</w:t>
      </w:r>
    </w:p>
    <w:p>
      <w:pPr>
        <w:numPr>
          <w:ilvl w:val="0"/>
          <w:numId w:val="1003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03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03"/>
        </w:numPr>
      </w:pPr>
      <w:r>
        <w:t xml:space="preserve">H341</w:t>
      </w:r>
      <w:r>
        <w:t xml:space="preserve"> </w:t>
      </w:r>
      <w:r>
        <w:t xml:space="preserve">Susceptible de provoquer des anomalies génétiques.</w:t>
      </w:r>
    </w:p>
    <w:p>
      <w:pPr>
        <w:numPr>
          <w:ilvl w:val="0"/>
          <w:numId w:val="1003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03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numPr>
          <w:ilvl w:val="0"/>
          <w:numId w:val="1003"/>
        </w:numPr>
      </w:pPr>
      <w:r>
        <w:t xml:space="preserve">H360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3"/>
        </w:numPr>
      </w:pPr>
      <w:r>
        <w:t xml:space="preserve">H361</w:t>
      </w:r>
      <w:r>
        <w:t xml:space="preserve"> </w:t>
      </w:r>
      <w:r>
        <w:t xml:space="preserve">Susceptible de nuire à la fertilité ou au fœtus.</w:t>
      </w:r>
    </w:p>
    <w:p>
      <w:pPr>
        <w:numPr>
          <w:ilvl w:val="0"/>
          <w:numId w:val="1003"/>
        </w:numPr>
      </w:pPr>
      <w:r>
        <w:t xml:space="preserve">H362</w:t>
      </w:r>
      <w:r>
        <w:t xml:space="preserve"> </w:t>
      </w:r>
      <w:r>
        <w:t xml:space="preserve">Peut-être nocif pour les bébés nourris au lait maternel.</w:t>
      </w:r>
    </w:p>
    <w:p>
      <w:pPr>
        <w:numPr>
          <w:ilvl w:val="0"/>
          <w:numId w:val="1003"/>
        </w:numPr>
      </w:pPr>
      <w:r>
        <w:t xml:space="preserve">H370</w:t>
      </w:r>
      <w:r>
        <w:t xml:space="preserve"> </w:t>
      </w:r>
      <w:r>
        <w:t xml:space="preserve">Risque avéré d’effets graves pour les organes.</w:t>
      </w:r>
    </w:p>
    <w:p>
      <w:pPr>
        <w:numPr>
          <w:ilvl w:val="0"/>
          <w:numId w:val="1003"/>
        </w:numPr>
      </w:pPr>
      <w:r>
        <w:t xml:space="preserve">H371</w:t>
      </w:r>
      <w:r>
        <w:t xml:space="preserve"> </w:t>
      </w:r>
      <w:r>
        <w:t xml:space="preserve">Risque présumé d’effets graves pour les organes.</w:t>
      </w:r>
    </w:p>
    <w:p>
      <w:pPr>
        <w:numPr>
          <w:ilvl w:val="0"/>
          <w:numId w:val="1003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3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Very toxic to aquatic organisms, causes long-term adverse effects.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Harmful to aquatic organisms, it causes long-term adverse effects.</w:t>
      </w:r>
    </w:p>
    <w:p>
      <w:pPr>
        <w:numPr>
          <w:ilvl w:val="0"/>
          <w:numId w:val="1003"/>
        </w:numPr>
      </w:pPr>
      <w:r>
        <w:t xml:space="preserve">H413</w:t>
      </w:r>
      <w:r>
        <w:t xml:space="preserve"> </w:t>
      </w:r>
      <w:r>
        <w:t xml:space="preserve">Peut-être nocif à long terme pour les organismes aquatiques.</w:t>
      </w:r>
    </w:p>
    <w:p>
      <w:pPr>
        <w:numPr>
          <w:ilvl w:val="0"/>
          <w:numId w:val="1003"/>
        </w:numPr>
      </w:pPr>
      <w:r>
        <w:t xml:space="preserve">H420</w:t>
      </w:r>
      <w:r>
        <w:t xml:space="preserve"> </w:t>
      </w:r>
      <w:r>
        <w:t xml:space="preserve">Nuise à la santé publique et à l’environnement en détruisant l’ozone dans la haute atmosphère.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UN : Please provide the text you would like me to translate into French.</w:t>
      </w:r>
    </w:p>
    <w:bookmarkEnd w:id="42"/>
    <w:bookmarkStart w:id="43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43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Xec74717cea9082d27a30c52eee4747e50b3cc8e"/>
    <w:p>
      <w:pPr>
        <w:pStyle w:val="Heading3"/>
      </w:pPr>
      <w:r>
        <w:t xml:space="preserve">25ppmH2S-100ppmCO-2.2%CH4/1 GB 1 EA 8%O2inN2 750L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None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25,0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pour une manipulation sécuritaire (telles que mentionnées dans le document) : 1. Précautions de transport - Évitez le transport sur des véhicules où l’espace de chargement n’est pas séparé de l’habitacle du conducteur. - Assurez-vous que le conducteur du véhicule est conscient des dangers potentiels de la cargaison et sait quoi faire en cas d’accident ou d’urgence. - Avant de transporter les conteneurs de produits : - Assurez-vous que les conteneurs sont bien fixés. - Assurez-vous que les conteneurs ne soient pas soumis à des chocs ou au chauffage. - Assurez-vous que le écrou de fermeture du chapeau de sortie de valve (si disponible) est correctement installé. - Assurez-vous que le dispositif de protection de la valve (si disponible) est correctement installé. - Assurez-vous qu’il y a une ventilation adéquate. - Conformité aux réglementations applicables. 2. Précautions générales de manipulation - Récipient sous pression. - Suivez toutes les réglementations et lois relatives à la sécurité, à la santé et à l’environnement spécifiques à la substance ou au mélange. - Observez les mentions de danger énumérées (phrases R et phrases H) pour le matériau, par exemple, le contact avec un matériau combustible peut provoquer un incendie, extrêmement inflammable, très toxique par inhalation, etc. - Utilisez des équipements de protection individuelle appropriés et une ventilation selon les besoins indiqués par les mentions de danger. - Stockez et manipulez le matériau conformément à la fiche de données de sécurité et à toute réglementation applicable.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39" Type="http://schemas.openxmlformats.org/officeDocument/2006/relationships/image" Target="media/rId39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2026-04-07T09:18:53Z</dcterms:created>
  <dcterms:modified xsi:type="dcterms:W3CDTF">2026-04-07T09:18:53Z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